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3F9B3" w14:textId="1DF40EE9" w:rsidR="00B7652A" w:rsidRPr="00B7652A" w:rsidRDefault="0064189D" w:rsidP="00B7652A">
      <w:pPr>
        <w:pStyle w:val="Default"/>
        <w:rPr>
          <w:rFonts w:eastAsia="Calibri"/>
          <w:b/>
          <w:i/>
          <w:iCs/>
          <w:sz w:val="28"/>
          <w:szCs w:val="28"/>
        </w:rPr>
      </w:pPr>
      <w:r w:rsidRPr="0064189D">
        <w:rPr>
          <w:rFonts w:eastAsia="Calibri"/>
          <w:b/>
          <w:i/>
          <w:iCs/>
          <w:sz w:val="28"/>
          <w:szCs w:val="28"/>
        </w:rPr>
        <w:t>Do accusations of greenwashing in the fast fashion industry affect consumerism?</w:t>
      </w:r>
    </w:p>
    <w:p w14:paraId="32A6E37C" w14:textId="77777777" w:rsidR="0064189D" w:rsidRPr="0064189D" w:rsidRDefault="0064189D" w:rsidP="00312A38">
      <w:pPr>
        <w:pStyle w:val="Default"/>
        <w:rPr>
          <w:rFonts w:ascii="Verdana" w:hAnsi="Verdana"/>
          <w:i/>
          <w:iCs/>
          <w:sz w:val="22"/>
          <w:szCs w:val="2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9410"/>
        <w:gridCol w:w="2434"/>
      </w:tblGrid>
      <w:tr w:rsidR="0064189D" w:rsidRPr="00743C1E" w14:paraId="7F2B5184" w14:textId="77777777" w:rsidTr="0064189D">
        <w:tc>
          <w:tcPr>
            <w:tcW w:w="2185" w:type="dxa"/>
          </w:tcPr>
          <w:p w14:paraId="2CFCDC82" w14:textId="77777777" w:rsidR="0064189D" w:rsidRPr="00743C1E" w:rsidRDefault="0064189D" w:rsidP="001B462B">
            <w:pPr>
              <w:rPr>
                <w:rFonts w:ascii="Verdana" w:hAnsi="Verdana"/>
                <w:b/>
                <w:snapToGrid/>
              </w:rPr>
            </w:pPr>
            <w:r w:rsidRPr="00743C1E">
              <w:rPr>
                <w:rFonts w:ascii="Verdana" w:hAnsi="Verdana"/>
                <w:b/>
                <w:snapToGrid/>
              </w:rPr>
              <w:t>Assessment Object</w:t>
            </w:r>
          </w:p>
        </w:tc>
        <w:tc>
          <w:tcPr>
            <w:tcW w:w="9410" w:type="dxa"/>
          </w:tcPr>
          <w:p w14:paraId="7BA42CAF" w14:textId="77777777" w:rsidR="0064189D" w:rsidRPr="00743C1E" w:rsidRDefault="0064189D" w:rsidP="001B462B">
            <w:pPr>
              <w:rPr>
                <w:rFonts w:ascii="Verdana" w:hAnsi="Verdana"/>
                <w:b/>
                <w:snapToGrid/>
              </w:rPr>
            </w:pPr>
            <w:r w:rsidRPr="00743C1E">
              <w:rPr>
                <w:rFonts w:ascii="Verdana" w:hAnsi="Verdana"/>
                <w:b/>
                <w:snapToGrid/>
              </w:rPr>
              <w:t>Moderator Comments</w:t>
            </w:r>
          </w:p>
        </w:tc>
        <w:tc>
          <w:tcPr>
            <w:tcW w:w="2434" w:type="dxa"/>
          </w:tcPr>
          <w:p w14:paraId="63B3AE1C" w14:textId="0B18AC1C" w:rsidR="0064189D" w:rsidRPr="00743C1E" w:rsidRDefault="0064189D" w:rsidP="001B462B">
            <w:pPr>
              <w:rPr>
                <w:rFonts w:ascii="Verdana" w:hAnsi="Verdana"/>
                <w:b/>
                <w:snapToGrid/>
              </w:rPr>
            </w:pPr>
            <w:r>
              <w:rPr>
                <w:rFonts w:ascii="Verdana" w:hAnsi="Verdana"/>
                <w:b/>
                <w:snapToGrid/>
              </w:rPr>
              <w:t>Mark</w:t>
            </w:r>
            <w:r w:rsidR="0042106E">
              <w:rPr>
                <w:rFonts w:ascii="Verdana" w:hAnsi="Verdana"/>
                <w:b/>
                <w:snapToGrid/>
              </w:rPr>
              <w:t xml:space="preserve"> Placement</w:t>
            </w:r>
          </w:p>
        </w:tc>
      </w:tr>
      <w:tr w:rsidR="0064189D" w:rsidRPr="00743C1E" w14:paraId="429A5B79" w14:textId="77777777" w:rsidTr="0064189D">
        <w:tc>
          <w:tcPr>
            <w:tcW w:w="2185" w:type="dxa"/>
            <w:vAlign w:val="center"/>
          </w:tcPr>
          <w:p w14:paraId="3BE343FE" w14:textId="77777777" w:rsidR="0064189D" w:rsidRPr="00743C1E" w:rsidRDefault="0064189D" w:rsidP="001B462B">
            <w:pPr>
              <w:jc w:val="center"/>
              <w:rPr>
                <w:rFonts w:ascii="Verdana" w:hAnsi="Verdana"/>
                <w:snapToGrid/>
              </w:rPr>
            </w:pPr>
            <w:r w:rsidRPr="00743C1E">
              <w:rPr>
                <w:rFonts w:ascii="Verdana" w:hAnsi="Verdana"/>
                <w:snapToGrid/>
              </w:rPr>
              <w:t>AO1</w:t>
            </w:r>
          </w:p>
        </w:tc>
        <w:tc>
          <w:tcPr>
            <w:tcW w:w="9410" w:type="dxa"/>
          </w:tcPr>
          <w:p w14:paraId="4F7C5EAD" w14:textId="713B288D" w:rsidR="0093162D" w:rsidRDefault="0093162D" w:rsidP="004C2465">
            <w:pPr>
              <w:pStyle w:val="TableParagraph"/>
              <w:rPr>
                <w:rFonts w:cstheme="minorHAnsi"/>
              </w:rPr>
            </w:pPr>
            <w:r>
              <w:rPr>
                <w:rFonts w:cstheme="minorHAnsi"/>
              </w:rPr>
              <w:t xml:space="preserve">The Project Proposal Form is clear and detailed. The question has been refined and focused and specific links are made to the learner’s GSCE </w:t>
            </w:r>
            <w:proofErr w:type="spellStart"/>
            <w:r>
              <w:rPr>
                <w:rFonts w:cstheme="minorHAnsi"/>
              </w:rPr>
              <w:t>programme</w:t>
            </w:r>
            <w:proofErr w:type="spellEnd"/>
            <w:r>
              <w:rPr>
                <w:rFonts w:cstheme="minorHAnsi"/>
              </w:rPr>
              <w:t xml:space="preserve"> to justify the choice of project. There is a logical and realistic plan for all stages of the project. A range of suitable resources are identified.</w:t>
            </w:r>
          </w:p>
          <w:p w14:paraId="702A2944" w14:textId="77777777" w:rsidR="0093162D" w:rsidRDefault="0093162D" w:rsidP="004C2465">
            <w:pPr>
              <w:pStyle w:val="TableParagraph"/>
              <w:rPr>
                <w:rFonts w:cstheme="minorHAnsi"/>
              </w:rPr>
            </w:pPr>
          </w:p>
          <w:p w14:paraId="29B9D272" w14:textId="190F672A" w:rsidR="0093162D" w:rsidRDefault="0093162D" w:rsidP="004C2465">
            <w:pPr>
              <w:pStyle w:val="TableParagraph"/>
              <w:rPr>
                <w:rFonts w:cstheme="minorHAnsi"/>
              </w:rPr>
            </w:pPr>
            <w:r>
              <w:rPr>
                <w:rFonts w:cstheme="minorHAnsi"/>
              </w:rPr>
              <w:t>The weekly Activity Log is detailed and clear. There is explicit reference to specific problems and how they will be addressed.</w:t>
            </w:r>
          </w:p>
          <w:p w14:paraId="471A286B" w14:textId="77777777" w:rsidR="0093162D" w:rsidRDefault="0093162D" w:rsidP="004C2465">
            <w:pPr>
              <w:pStyle w:val="TableParagraph"/>
              <w:rPr>
                <w:rFonts w:cstheme="minorHAnsi"/>
              </w:rPr>
            </w:pPr>
          </w:p>
          <w:p w14:paraId="5FA7C7B1" w14:textId="06B4D379" w:rsidR="0093162D" w:rsidRPr="0093162D" w:rsidRDefault="0093162D" w:rsidP="004C2465">
            <w:pPr>
              <w:pStyle w:val="TableParagraph"/>
              <w:rPr>
                <w:rFonts w:cstheme="minorHAnsi"/>
              </w:rPr>
            </w:pPr>
            <w:r>
              <w:rPr>
                <w:rFonts w:cstheme="minorHAnsi"/>
              </w:rPr>
              <w:t xml:space="preserve">The </w:t>
            </w:r>
            <w:proofErr w:type="spellStart"/>
            <w:r>
              <w:rPr>
                <w:rFonts w:cstheme="minorHAnsi"/>
              </w:rPr>
              <w:t>centre</w:t>
            </w:r>
            <w:proofErr w:type="spellEnd"/>
            <w:r>
              <w:rPr>
                <w:rFonts w:cstheme="minorHAnsi"/>
              </w:rPr>
              <w:t xml:space="preserve"> assessor includes comments that suggest</w:t>
            </w:r>
            <w:r w:rsidR="003B523A">
              <w:rPr>
                <w:rFonts w:cstheme="minorHAnsi"/>
              </w:rPr>
              <w:t xml:space="preserve"> that </w:t>
            </w:r>
            <w:r>
              <w:rPr>
                <w:rFonts w:cstheme="minorHAnsi"/>
              </w:rPr>
              <w:t xml:space="preserve">the learner works </w:t>
            </w:r>
            <w:r w:rsidR="003B523A">
              <w:rPr>
                <w:rFonts w:cstheme="minorHAnsi"/>
              </w:rPr>
              <w:t>‘</w:t>
            </w:r>
            <w:r>
              <w:rPr>
                <w:rFonts w:cstheme="minorHAnsi"/>
              </w:rPr>
              <w:t>mainly independently</w:t>
            </w:r>
            <w:r w:rsidR="003B523A">
              <w:rPr>
                <w:rFonts w:cstheme="minorHAnsi"/>
              </w:rPr>
              <w:t>’</w:t>
            </w:r>
            <w:r>
              <w:rPr>
                <w:rFonts w:cstheme="minorHAnsi"/>
              </w:rPr>
              <w:t xml:space="preserve"> to achieve the +1 mark. </w:t>
            </w:r>
          </w:p>
          <w:p w14:paraId="78A621E1" w14:textId="5D56578B" w:rsidR="0064189D" w:rsidRPr="00CD6994" w:rsidRDefault="0064189D" w:rsidP="004C2465">
            <w:pPr>
              <w:pStyle w:val="TableParagraph"/>
              <w:rPr>
                <w:rFonts w:cstheme="minorHAnsi"/>
              </w:rPr>
            </w:pPr>
          </w:p>
        </w:tc>
        <w:tc>
          <w:tcPr>
            <w:tcW w:w="2434" w:type="dxa"/>
            <w:vAlign w:val="center"/>
          </w:tcPr>
          <w:p w14:paraId="45F4A862" w14:textId="77777777" w:rsidR="0064189D" w:rsidRDefault="0064189D" w:rsidP="0064189D">
            <w:pPr>
              <w:rPr>
                <w:rFonts w:ascii="Verdana" w:hAnsi="Verdana"/>
                <w:b/>
                <w:snapToGrid/>
              </w:rPr>
            </w:pPr>
            <w:r>
              <w:rPr>
                <w:rFonts w:ascii="Verdana" w:hAnsi="Verdana"/>
                <w:b/>
                <w:snapToGrid/>
              </w:rPr>
              <w:t>High</w:t>
            </w:r>
          </w:p>
          <w:p w14:paraId="662F609D" w14:textId="75C11CBA" w:rsidR="0064189D" w:rsidRPr="00A12F57" w:rsidRDefault="0064189D" w:rsidP="0064189D">
            <w:pPr>
              <w:rPr>
                <w:rFonts w:ascii="Verdana" w:hAnsi="Verdana"/>
                <w:b/>
                <w:snapToGrid/>
              </w:rPr>
            </w:pPr>
            <w:r>
              <w:rPr>
                <w:rFonts w:ascii="Verdana" w:hAnsi="Verdana"/>
                <w:b/>
                <w:snapToGrid/>
              </w:rPr>
              <w:t>Mark Band 2</w:t>
            </w:r>
          </w:p>
        </w:tc>
      </w:tr>
      <w:tr w:rsidR="0064189D" w:rsidRPr="00743C1E" w14:paraId="1AB0F3F8" w14:textId="77777777" w:rsidTr="0064189D">
        <w:tc>
          <w:tcPr>
            <w:tcW w:w="2185" w:type="dxa"/>
            <w:vAlign w:val="center"/>
          </w:tcPr>
          <w:p w14:paraId="36B41523" w14:textId="77777777" w:rsidR="0064189D" w:rsidRPr="00743C1E" w:rsidRDefault="0064189D" w:rsidP="001B462B">
            <w:pPr>
              <w:jc w:val="center"/>
              <w:rPr>
                <w:rFonts w:ascii="Verdana" w:hAnsi="Verdana"/>
                <w:snapToGrid/>
              </w:rPr>
            </w:pPr>
            <w:r w:rsidRPr="00743C1E">
              <w:rPr>
                <w:rFonts w:ascii="Verdana" w:hAnsi="Verdana"/>
                <w:snapToGrid/>
              </w:rPr>
              <w:t>AO2</w:t>
            </w:r>
          </w:p>
        </w:tc>
        <w:tc>
          <w:tcPr>
            <w:tcW w:w="9410" w:type="dxa"/>
          </w:tcPr>
          <w:p w14:paraId="4D2E2246" w14:textId="62A60AB5" w:rsidR="00233F5B" w:rsidRPr="00DB4DF0" w:rsidRDefault="0042106E" w:rsidP="009F5FB2">
            <w:pPr>
              <w:rPr>
                <w:rFonts w:ascii="Verdana" w:hAnsi="Verdana" w:cstheme="minorHAnsi"/>
                <w:color w:val="FF0000"/>
                <w:szCs w:val="22"/>
              </w:rPr>
            </w:pPr>
            <w:r>
              <w:rPr>
                <w:rFonts w:ascii="Verdana" w:hAnsi="Verdana" w:cstheme="minorHAnsi"/>
                <w:szCs w:val="22"/>
              </w:rPr>
              <w:t xml:space="preserve">The bibliography documents </w:t>
            </w:r>
            <w:r w:rsidR="003B523A">
              <w:rPr>
                <w:rFonts w:ascii="Verdana" w:hAnsi="Verdana" w:cstheme="minorHAnsi"/>
                <w:szCs w:val="22"/>
              </w:rPr>
              <w:t>a</w:t>
            </w:r>
            <w:r>
              <w:rPr>
                <w:rFonts w:ascii="Verdana" w:hAnsi="Verdana" w:cstheme="minorHAnsi"/>
                <w:szCs w:val="22"/>
              </w:rPr>
              <w:t xml:space="preserve"> wide</w:t>
            </w:r>
            <w:r w:rsidR="00795BC0">
              <w:rPr>
                <w:rFonts w:ascii="Verdana" w:hAnsi="Verdana" w:cstheme="minorHAnsi"/>
                <w:szCs w:val="22"/>
              </w:rPr>
              <w:t xml:space="preserve"> </w:t>
            </w:r>
            <w:r>
              <w:rPr>
                <w:rFonts w:ascii="Verdana" w:hAnsi="Verdana" w:cstheme="minorHAnsi"/>
                <w:szCs w:val="22"/>
              </w:rPr>
              <w:t xml:space="preserve">range of sources, including </w:t>
            </w:r>
            <w:r w:rsidR="00233F5B">
              <w:rPr>
                <w:rFonts w:ascii="Verdana" w:hAnsi="Verdana" w:cstheme="minorHAnsi"/>
                <w:szCs w:val="22"/>
              </w:rPr>
              <w:t xml:space="preserve">a book, </w:t>
            </w:r>
            <w:r>
              <w:rPr>
                <w:rFonts w:ascii="Verdana" w:hAnsi="Verdana" w:cstheme="minorHAnsi"/>
                <w:szCs w:val="22"/>
              </w:rPr>
              <w:t>academic papers</w:t>
            </w:r>
            <w:r w:rsidR="00233F5B">
              <w:rPr>
                <w:rFonts w:ascii="Verdana" w:hAnsi="Verdana" w:cstheme="minorHAnsi"/>
                <w:szCs w:val="22"/>
              </w:rPr>
              <w:t xml:space="preserve"> and websites. This research is very focused with evident careful selection of sources to inform the discussion. The Activity Log also provides commentary on the reliability of sources, showing the learner’s understanding. </w:t>
            </w:r>
            <w:r w:rsidR="00DB4DF0">
              <w:rPr>
                <w:rFonts w:ascii="Verdana" w:hAnsi="Verdana" w:cstheme="minorHAnsi"/>
                <w:color w:val="FF0000"/>
                <w:szCs w:val="22"/>
              </w:rPr>
              <w:t xml:space="preserve">There is also reference to a ‘Recording Sources’ </w:t>
            </w:r>
            <w:r w:rsidR="009E70B0">
              <w:rPr>
                <w:rFonts w:ascii="Verdana" w:hAnsi="Verdana" w:cstheme="minorHAnsi"/>
                <w:color w:val="FF0000"/>
                <w:szCs w:val="22"/>
              </w:rPr>
              <w:t>d</w:t>
            </w:r>
            <w:r w:rsidR="00DB4DF0">
              <w:rPr>
                <w:rFonts w:ascii="Verdana" w:hAnsi="Verdana" w:cstheme="minorHAnsi"/>
                <w:color w:val="FF0000"/>
                <w:szCs w:val="22"/>
              </w:rPr>
              <w:t xml:space="preserve">ocument in the </w:t>
            </w:r>
            <w:r w:rsidR="003B523A">
              <w:rPr>
                <w:rFonts w:ascii="Verdana" w:hAnsi="Verdana" w:cstheme="minorHAnsi"/>
                <w:color w:val="FF0000"/>
                <w:szCs w:val="22"/>
              </w:rPr>
              <w:t>Activity</w:t>
            </w:r>
            <w:r w:rsidR="00DB4DF0">
              <w:rPr>
                <w:rFonts w:ascii="Verdana" w:hAnsi="Verdana" w:cstheme="minorHAnsi"/>
                <w:color w:val="FF0000"/>
                <w:szCs w:val="22"/>
              </w:rPr>
              <w:t xml:space="preserve"> Log</w:t>
            </w:r>
            <w:r w:rsidR="003B523A">
              <w:rPr>
                <w:rFonts w:ascii="Verdana" w:hAnsi="Verdana" w:cstheme="minorHAnsi"/>
                <w:color w:val="FF0000"/>
                <w:szCs w:val="22"/>
              </w:rPr>
              <w:t xml:space="preserve"> that is not included in the file</w:t>
            </w:r>
            <w:r w:rsidR="00CC663C">
              <w:rPr>
                <w:rFonts w:ascii="Verdana" w:hAnsi="Verdana" w:cstheme="minorHAnsi"/>
                <w:color w:val="FF0000"/>
                <w:szCs w:val="22"/>
              </w:rPr>
              <w:t>.</w:t>
            </w:r>
          </w:p>
          <w:p w14:paraId="6DE00BFB" w14:textId="77777777" w:rsidR="00233F5B" w:rsidRDefault="00233F5B" w:rsidP="009F5FB2">
            <w:pPr>
              <w:rPr>
                <w:rFonts w:ascii="Verdana" w:hAnsi="Verdana" w:cstheme="minorHAnsi"/>
                <w:szCs w:val="22"/>
              </w:rPr>
            </w:pPr>
          </w:p>
          <w:p w14:paraId="2BDD4C2B" w14:textId="128DA097" w:rsidR="0064189D" w:rsidRDefault="00233F5B" w:rsidP="009F5FB2">
            <w:pPr>
              <w:rPr>
                <w:rFonts w:ascii="Verdana" w:hAnsi="Verdana" w:cstheme="minorHAnsi"/>
                <w:szCs w:val="22"/>
              </w:rPr>
            </w:pPr>
            <w:r>
              <w:rPr>
                <w:rFonts w:ascii="Verdana" w:hAnsi="Verdana" w:cstheme="minorHAnsi"/>
                <w:szCs w:val="22"/>
              </w:rPr>
              <w:t xml:space="preserve">There is some scope to further refine the bibliography and citations. Most sources are retrievable. The date of accessing online sources has been included demonstrating good practice. </w:t>
            </w:r>
          </w:p>
          <w:p w14:paraId="5C4076C0" w14:textId="77777777" w:rsidR="00233F5B" w:rsidRDefault="00233F5B" w:rsidP="009F5FB2">
            <w:pPr>
              <w:rPr>
                <w:rFonts w:ascii="Verdana" w:hAnsi="Verdana" w:cstheme="minorHAnsi"/>
                <w:szCs w:val="22"/>
              </w:rPr>
            </w:pPr>
          </w:p>
          <w:p w14:paraId="3831E909" w14:textId="7E5B6063" w:rsidR="00233F5B" w:rsidRPr="00CD6994" w:rsidRDefault="00233F5B" w:rsidP="009F5FB2">
            <w:pPr>
              <w:rPr>
                <w:rFonts w:ascii="Verdana" w:hAnsi="Verdana" w:cstheme="minorHAnsi"/>
                <w:szCs w:val="22"/>
              </w:rPr>
            </w:pPr>
            <w:r>
              <w:rPr>
                <w:rFonts w:ascii="Verdana" w:hAnsi="Verdana" w:cstheme="minorHAnsi"/>
                <w:szCs w:val="22"/>
              </w:rPr>
              <w:t>The research has been undertaken independently justifying the +1.</w:t>
            </w:r>
          </w:p>
          <w:p w14:paraId="63BFD4F3" w14:textId="77777777" w:rsidR="0064189D" w:rsidRPr="00CD6994" w:rsidRDefault="0064189D" w:rsidP="00A70422">
            <w:pPr>
              <w:pStyle w:val="TableParagraph"/>
              <w:rPr>
                <w:rFonts w:cstheme="minorHAnsi"/>
              </w:rPr>
            </w:pPr>
          </w:p>
        </w:tc>
        <w:tc>
          <w:tcPr>
            <w:tcW w:w="2434" w:type="dxa"/>
            <w:vAlign w:val="center"/>
          </w:tcPr>
          <w:p w14:paraId="6E7D3B87" w14:textId="26EDBBEC" w:rsidR="0064189D" w:rsidRDefault="0042106E" w:rsidP="0042106E">
            <w:pPr>
              <w:rPr>
                <w:rFonts w:ascii="Verdana" w:hAnsi="Verdana"/>
                <w:b/>
                <w:snapToGrid/>
              </w:rPr>
            </w:pPr>
            <w:r>
              <w:rPr>
                <w:rFonts w:ascii="Verdana" w:hAnsi="Verdana"/>
                <w:b/>
                <w:snapToGrid/>
              </w:rPr>
              <w:t xml:space="preserve">High </w:t>
            </w:r>
            <w:r w:rsidR="00280E8D">
              <w:rPr>
                <w:rFonts w:ascii="Verdana" w:hAnsi="Verdana"/>
                <w:b/>
                <w:snapToGrid/>
              </w:rPr>
              <w:t>Mid</w:t>
            </w:r>
          </w:p>
          <w:p w14:paraId="3C793AC1" w14:textId="506E200F" w:rsidR="0042106E" w:rsidRPr="00A12F57" w:rsidRDefault="0042106E" w:rsidP="0042106E">
            <w:pPr>
              <w:rPr>
                <w:rFonts w:ascii="Verdana" w:hAnsi="Verdana"/>
                <w:b/>
                <w:snapToGrid/>
              </w:rPr>
            </w:pPr>
            <w:r>
              <w:rPr>
                <w:rFonts w:ascii="Verdana" w:hAnsi="Verdana"/>
                <w:b/>
                <w:snapToGrid/>
              </w:rPr>
              <w:t>Mark Band 2</w:t>
            </w:r>
          </w:p>
          <w:p w14:paraId="55618ED2" w14:textId="77777777" w:rsidR="0064189D" w:rsidRPr="00A12F57" w:rsidRDefault="0064189D" w:rsidP="001B462B">
            <w:pPr>
              <w:jc w:val="center"/>
              <w:rPr>
                <w:rFonts w:ascii="Verdana" w:hAnsi="Verdana"/>
                <w:b/>
                <w:snapToGrid/>
              </w:rPr>
            </w:pPr>
          </w:p>
        </w:tc>
      </w:tr>
      <w:tr w:rsidR="0064189D" w:rsidRPr="00743C1E" w14:paraId="53C74F46" w14:textId="77777777" w:rsidTr="0064189D">
        <w:tc>
          <w:tcPr>
            <w:tcW w:w="2185" w:type="dxa"/>
            <w:vAlign w:val="center"/>
          </w:tcPr>
          <w:p w14:paraId="118C373B" w14:textId="77777777" w:rsidR="0064189D" w:rsidRPr="00743C1E" w:rsidRDefault="0064189D" w:rsidP="001B462B">
            <w:pPr>
              <w:jc w:val="center"/>
              <w:rPr>
                <w:rFonts w:ascii="Verdana" w:hAnsi="Verdana"/>
                <w:snapToGrid/>
              </w:rPr>
            </w:pPr>
            <w:r w:rsidRPr="00743C1E">
              <w:rPr>
                <w:rFonts w:ascii="Verdana" w:hAnsi="Verdana"/>
                <w:snapToGrid/>
              </w:rPr>
              <w:t>AO3</w:t>
            </w:r>
          </w:p>
        </w:tc>
        <w:tc>
          <w:tcPr>
            <w:tcW w:w="9410" w:type="dxa"/>
          </w:tcPr>
          <w:p w14:paraId="6F559F5C" w14:textId="77777777" w:rsidR="00DB4DF0" w:rsidRDefault="00233F5B" w:rsidP="00DB4DF0">
            <w:pPr>
              <w:rPr>
                <w:rFonts w:ascii="Verdana" w:hAnsi="Verdana" w:cstheme="minorHAnsi"/>
                <w:bCs/>
                <w:szCs w:val="22"/>
                <w:lang w:val="en-US"/>
              </w:rPr>
            </w:pPr>
            <w:r>
              <w:rPr>
                <w:rFonts w:ascii="Verdana" w:hAnsi="Verdana" w:cstheme="minorHAnsi"/>
                <w:bCs/>
                <w:szCs w:val="22"/>
                <w:lang w:val="en-US"/>
              </w:rPr>
              <w:t>There is good understa</w:t>
            </w:r>
            <w:r w:rsidR="007F3688">
              <w:rPr>
                <w:rFonts w:ascii="Verdana" w:hAnsi="Verdana" w:cstheme="minorHAnsi"/>
                <w:bCs/>
                <w:szCs w:val="22"/>
                <w:lang w:val="en-US"/>
              </w:rPr>
              <w:t>n</w:t>
            </w:r>
            <w:r>
              <w:rPr>
                <w:rFonts w:ascii="Verdana" w:hAnsi="Verdana" w:cstheme="minorHAnsi"/>
                <w:bCs/>
                <w:szCs w:val="22"/>
                <w:lang w:val="en-US"/>
              </w:rPr>
              <w:t>ding of the topic with consideration of a range of different viewpoints</w:t>
            </w:r>
            <w:r w:rsidR="007F3688">
              <w:rPr>
                <w:rFonts w:ascii="Verdana" w:hAnsi="Verdana" w:cstheme="minorHAnsi"/>
                <w:bCs/>
                <w:szCs w:val="22"/>
                <w:lang w:val="en-US"/>
              </w:rPr>
              <w:t xml:space="preserve"> and conclusions drawn. There is a suitable and logical structure that adds clarity. </w:t>
            </w:r>
          </w:p>
          <w:p w14:paraId="2EE28CD8" w14:textId="77777777" w:rsidR="00DB4DF0" w:rsidRDefault="00DB4DF0" w:rsidP="00DB4DF0">
            <w:pPr>
              <w:rPr>
                <w:rFonts w:ascii="Verdana" w:hAnsi="Verdana" w:cstheme="minorHAnsi"/>
                <w:bCs/>
                <w:szCs w:val="22"/>
                <w:lang w:val="en-US"/>
              </w:rPr>
            </w:pPr>
          </w:p>
          <w:p w14:paraId="505D4AEE" w14:textId="0F6E278C" w:rsidR="0064189D" w:rsidRDefault="007F3688" w:rsidP="00DB4DF0">
            <w:pPr>
              <w:rPr>
                <w:rFonts w:ascii="Verdana" w:hAnsi="Verdana" w:cstheme="minorHAnsi"/>
                <w:bCs/>
                <w:szCs w:val="22"/>
                <w:lang w:val="en-US"/>
              </w:rPr>
            </w:pPr>
            <w:r>
              <w:rPr>
                <w:rFonts w:ascii="Verdana" w:hAnsi="Verdana" w:cstheme="minorHAnsi"/>
                <w:bCs/>
                <w:szCs w:val="22"/>
                <w:lang w:val="en-US"/>
              </w:rPr>
              <w:t xml:space="preserve">There are errors in spelling and grammar, but these generally do not detract. </w:t>
            </w:r>
            <w:r w:rsidR="00DB4DF0">
              <w:rPr>
                <w:rFonts w:ascii="Verdana" w:hAnsi="Verdana" w:cstheme="minorHAnsi"/>
                <w:bCs/>
                <w:szCs w:val="22"/>
                <w:lang w:val="en-US"/>
              </w:rPr>
              <w:t>There is also some scope to refine the formatting. A</w:t>
            </w:r>
            <w:r>
              <w:rPr>
                <w:rFonts w:ascii="Verdana" w:hAnsi="Verdana" w:cstheme="minorHAnsi"/>
                <w:bCs/>
                <w:szCs w:val="22"/>
                <w:lang w:val="en-US"/>
              </w:rPr>
              <w:t xml:space="preserve">n academic </w:t>
            </w:r>
            <w:r w:rsidR="00DB4DF0">
              <w:rPr>
                <w:rFonts w:ascii="Verdana" w:hAnsi="Verdana" w:cstheme="minorHAnsi"/>
                <w:bCs/>
                <w:szCs w:val="22"/>
                <w:lang w:val="en-US"/>
              </w:rPr>
              <w:t xml:space="preserve">register is used throughout. </w:t>
            </w:r>
          </w:p>
          <w:p w14:paraId="4FF273C7" w14:textId="77777777" w:rsidR="00DB4DF0" w:rsidRDefault="00DB4DF0" w:rsidP="00DB4DF0">
            <w:pPr>
              <w:rPr>
                <w:rFonts w:ascii="Verdana" w:hAnsi="Verdana" w:cstheme="minorHAnsi"/>
                <w:bCs/>
                <w:szCs w:val="22"/>
                <w:lang w:val="en-US"/>
              </w:rPr>
            </w:pPr>
          </w:p>
          <w:p w14:paraId="61F8BE87" w14:textId="1A15060E" w:rsidR="00DB4DF0" w:rsidRDefault="00DB4DF0" w:rsidP="00DB4DF0">
            <w:pPr>
              <w:rPr>
                <w:rFonts w:ascii="Verdana" w:hAnsi="Verdana" w:cstheme="minorHAnsi"/>
                <w:bCs/>
                <w:szCs w:val="22"/>
                <w:lang w:val="en-US"/>
              </w:rPr>
            </w:pPr>
            <w:r>
              <w:rPr>
                <w:rFonts w:ascii="Verdana" w:hAnsi="Verdana" w:cstheme="minorHAnsi"/>
                <w:bCs/>
                <w:szCs w:val="22"/>
                <w:lang w:val="en-US"/>
              </w:rPr>
              <w:t>Independent work justifying the +1</w:t>
            </w:r>
          </w:p>
          <w:p w14:paraId="5F735B29" w14:textId="77777777" w:rsidR="007F3688" w:rsidRDefault="007F3688" w:rsidP="007F3688">
            <w:pPr>
              <w:rPr>
                <w:rFonts w:ascii="Verdana" w:hAnsi="Verdana" w:cstheme="minorHAnsi"/>
                <w:szCs w:val="22"/>
              </w:rPr>
            </w:pPr>
          </w:p>
          <w:p w14:paraId="542662D9" w14:textId="191746F0" w:rsidR="007F3688" w:rsidRPr="00CD6994" w:rsidRDefault="007F3688" w:rsidP="007F3688">
            <w:pPr>
              <w:rPr>
                <w:rFonts w:ascii="Verdana" w:hAnsi="Verdana" w:cstheme="minorHAnsi"/>
                <w:szCs w:val="22"/>
              </w:rPr>
            </w:pPr>
          </w:p>
        </w:tc>
        <w:tc>
          <w:tcPr>
            <w:tcW w:w="2434" w:type="dxa"/>
            <w:vAlign w:val="center"/>
          </w:tcPr>
          <w:p w14:paraId="294A4083" w14:textId="39C92449" w:rsidR="00233F5B" w:rsidRDefault="00233F5B" w:rsidP="00233F5B">
            <w:pPr>
              <w:rPr>
                <w:rFonts w:ascii="Verdana" w:hAnsi="Verdana"/>
                <w:b/>
                <w:snapToGrid/>
              </w:rPr>
            </w:pPr>
            <w:r>
              <w:rPr>
                <w:rFonts w:ascii="Verdana" w:hAnsi="Verdana"/>
                <w:b/>
                <w:snapToGrid/>
              </w:rPr>
              <w:t xml:space="preserve">High </w:t>
            </w:r>
            <w:r w:rsidR="00BC195C">
              <w:rPr>
                <w:rFonts w:ascii="Verdana" w:hAnsi="Verdana"/>
                <w:b/>
                <w:snapToGrid/>
              </w:rPr>
              <w:t>Mid</w:t>
            </w:r>
          </w:p>
          <w:p w14:paraId="2099BBBB" w14:textId="77777777" w:rsidR="00233F5B" w:rsidRPr="00A12F57" w:rsidRDefault="00233F5B" w:rsidP="00233F5B">
            <w:pPr>
              <w:rPr>
                <w:rFonts w:ascii="Verdana" w:hAnsi="Verdana"/>
                <w:b/>
                <w:snapToGrid/>
              </w:rPr>
            </w:pPr>
            <w:r>
              <w:rPr>
                <w:rFonts w:ascii="Verdana" w:hAnsi="Verdana"/>
                <w:b/>
                <w:snapToGrid/>
              </w:rPr>
              <w:t>Mark Band 2</w:t>
            </w:r>
          </w:p>
          <w:p w14:paraId="3D888ADB" w14:textId="48E5D248" w:rsidR="0064189D" w:rsidRPr="00A12F57" w:rsidRDefault="0064189D" w:rsidP="00233F5B">
            <w:pPr>
              <w:rPr>
                <w:rFonts w:ascii="Verdana" w:hAnsi="Verdana"/>
                <w:b/>
                <w:snapToGrid/>
              </w:rPr>
            </w:pPr>
          </w:p>
          <w:p w14:paraId="3A43BD70" w14:textId="77777777" w:rsidR="0064189D" w:rsidRPr="00A12F57" w:rsidRDefault="0064189D" w:rsidP="001B462B">
            <w:pPr>
              <w:jc w:val="center"/>
              <w:rPr>
                <w:rFonts w:ascii="Verdana" w:hAnsi="Verdana"/>
                <w:b/>
                <w:snapToGrid/>
              </w:rPr>
            </w:pPr>
          </w:p>
        </w:tc>
      </w:tr>
      <w:tr w:rsidR="0064189D" w:rsidRPr="00743C1E" w14:paraId="5F414D5D" w14:textId="77777777" w:rsidTr="0064189D">
        <w:tc>
          <w:tcPr>
            <w:tcW w:w="2185" w:type="dxa"/>
            <w:vAlign w:val="center"/>
          </w:tcPr>
          <w:p w14:paraId="20390540" w14:textId="77777777" w:rsidR="0064189D" w:rsidRPr="00743C1E" w:rsidRDefault="0064189D" w:rsidP="001B462B">
            <w:pPr>
              <w:jc w:val="center"/>
              <w:rPr>
                <w:rFonts w:ascii="Verdana" w:hAnsi="Verdana"/>
                <w:snapToGrid/>
              </w:rPr>
            </w:pPr>
            <w:r w:rsidRPr="00743C1E">
              <w:rPr>
                <w:rFonts w:ascii="Verdana" w:hAnsi="Verdana"/>
                <w:snapToGrid/>
              </w:rPr>
              <w:lastRenderedPageBreak/>
              <w:t>AO4</w:t>
            </w:r>
          </w:p>
        </w:tc>
        <w:tc>
          <w:tcPr>
            <w:tcW w:w="9410" w:type="dxa"/>
          </w:tcPr>
          <w:p w14:paraId="468B3367" w14:textId="5FE782F6" w:rsidR="0064189D" w:rsidRDefault="009E70B0" w:rsidP="00524BE3">
            <w:pPr>
              <w:rPr>
                <w:rFonts w:ascii="Verdana" w:hAnsi="Verdana" w:cstheme="minorHAnsi"/>
                <w:bCs/>
                <w:szCs w:val="22"/>
              </w:rPr>
            </w:pPr>
            <w:r w:rsidRPr="00524BE3">
              <w:rPr>
                <w:rFonts w:ascii="Verdana" w:hAnsi="Verdana" w:cstheme="minorHAnsi"/>
                <w:bCs/>
                <w:szCs w:val="22"/>
              </w:rPr>
              <w:t>The learner</w:t>
            </w:r>
            <w:r w:rsidR="00524BE3" w:rsidRPr="00524BE3">
              <w:rPr>
                <w:rFonts w:ascii="Verdana" w:hAnsi="Verdana" w:cstheme="minorHAnsi"/>
                <w:bCs/>
                <w:szCs w:val="22"/>
              </w:rPr>
              <w:t xml:space="preserve"> has given a presentation, as well as providing a</w:t>
            </w:r>
            <w:r w:rsidRPr="00524BE3">
              <w:rPr>
                <w:rFonts w:ascii="Verdana" w:hAnsi="Verdana" w:cstheme="minorHAnsi"/>
                <w:bCs/>
                <w:szCs w:val="22"/>
              </w:rPr>
              <w:t xml:space="preserve"> written revie</w:t>
            </w:r>
            <w:r w:rsidR="00524BE3" w:rsidRPr="00524BE3">
              <w:rPr>
                <w:rFonts w:ascii="Verdana" w:hAnsi="Verdana" w:cstheme="minorHAnsi"/>
                <w:bCs/>
                <w:szCs w:val="22"/>
              </w:rPr>
              <w:t>w. The presentation is not a requirement at Level 1 and Level 2 but can support learners to articulate their conclusions. If the review is presented orally, the teacher-assessor must complete an observation record</w:t>
            </w:r>
            <w:r w:rsidR="00524BE3">
              <w:rPr>
                <w:rFonts w:ascii="Verdana" w:hAnsi="Verdana" w:cstheme="minorHAnsi"/>
                <w:bCs/>
                <w:szCs w:val="22"/>
              </w:rPr>
              <w:t xml:space="preserve"> (See </w:t>
            </w:r>
            <w:r w:rsidR="003B523A">
              <w:rPr>
                <w:rFonts w:ascii="Verdana" w:hAnsi="Verdana" w:cstheme="minorHAnsi"/>
                <w:bCs/>
                <w:szCs w:val="22"/>
              </w:rPr>
              <w:t>S</w:t>
            </w:r>
            <w:r w:rsidR="00524BE3">
              <w:rPr>
                <w:rFonts w:ascii="Verdana" w:hAnsi="Verdana" w:cstheme="minorHAnsi"/>
                <w:bCs/>
                <w:szCs w:val="22"/>
              </w:rPr>
              <w:t>pecification Page 44).</w:t>
            </w:r>
          </w:p>
          <w:p w14:paraId="219E07E0" w14:textId="77777777" w:rsidR="00524BE3" w:rsidRDefault="00524BE3" w:rsidP="00524BE3">
            <w:pPr>
              <w:rPr>
                <w:rFonts w:ascii="Verdana" w:hAnsi="Verdana" w:cstheme="minorHAnsi"/>
                <w:bCs/>
                <w:szCs w:val="22"/>
              </w:rPr>
            </w:pPr>
          </w:p>
          <w:p w14:paraId="11B60266" w14:textId="76A5DD79" w:rsidR="00B7652A" w:rsidRDefault="00524BE3" w:rsidP="00524BE3">
            <w:pPr>
              <w:rPr>
                <w:rFonts w:ascii="Verdana" w:hAnsi="Verdana" w:cstheme="minorHAnsi"/>
                <w:bCs/>
                <w:szCs w:val="22"/>
              </w:rPr>
            </w:pPr>
            <w:r>
              <w:rPr>
                <w:rFonts w:ascii="Verdana" w:hAnsi="Verdana" w:cstheme="minorHAnsi"/>
                <w:bCs/>
                <w:szCs w:val="22"/>
              </w:rPr>
              <w:t xml:space="preserve">The written review (in the conclusion) and the presentation </w:t>
            </w:r>
            <w:r w:rsidR="00B7652A">
              <w:rPr>
                <w:rFonts w:ascii="Verdana" w:hAnsi="Verdana" w:cstheme="minorHAnsi"/>
                <w:bCs/>
                <w:szCs w:val="22"/>
              </w:rPr>
              <w:t xml:space="preserve">PowerPoint </w:t>
            </w:r>
            <w:r>
              <w:rPr>
                <w:rFonts w:ascii="Verdana" w:hAnsi="Verdana" w:cstheme="minorHAnsi"/>
                <w:bCs/>
                <w:szCs w:val="22"/>
              </w:rPr>
              <w:t xml:space="preserve">are </w:t>
            </w:r>
            <w:r w:rsidR="00B7652A">
              <w:rPr>
                <w:rFonts w:ascii="Verdana" w:hAnsi="Verdana" w:cstheme="minorHAnsi"/>
                <w:bCs/>
                <w:szCs w:val="22"/>
              </w:rPr>
              <w:t>both well-structured</w:t>
            </w:r>
            <w:r>
              <w:rPr>
                <w:rFonts w:ascii="Verdana" w:hAnsi="Verdana" w:cstheme="minorHAnsi"/>
                <w:bCs/>
                <w:szCs w:val="22"/>
              </w:rPr>
              <w:t xml:space="preserve"> and the learner gives detailed examples to support their conclusions. The assessment of how well they performed is thoughtful and cogent.</w:t>
            </w:r>
          </w:p>
          <w:p w14:paraId="647C49E4" w14:textId="77777777" w:rsidR="00B7652A" w:rsidRDefault="00B7652A" w:rsidP="00524BE3">
            <w:pPr>
              <w:rPr>
                <w:rFonts w:ascii="Verdana" w:hAnsi="Verdana" w:cstheme="minorHAnsi"/>
                <w:bCs/>
                <w:szCs w:val="22"/>
              </w:rPr>
            </w:pPr>
          </w:p>
          <w:p w14:paraId="23C29F51" w14:textId="0E86CD3D" w:rsidR="00524BE3" w:rsidRPr="00524BE3" w:rsidRDefault="00B7652A" w:rsidP="00524BE3">
            <w:pPr>
              <w:rPr>
                <w:rFonts w:ascii="Verdana" w:hAnsi="Verdana" w:cstheme="minorHAnsi"/>
                <w:bCs/>
                <w:szCs w:val="22"/>
              </w:rPr>
            </w:pPr>
            <w:r>
              <w:rPr>
                <w:rFonts w:ascii="Verdana" w:hAnsi="Verdana" w:cstheme="minorHAnsi"/>
                <w:bCs/>
                <w:szCs w:val="22"/>
              </w:rPr>
              <w:t xml:space="preserve">Ideas for follow-up work could be developed. </w:t>
            </w:r>
          </w:p>
          <w:p w14:paraId="0F35B8F4" w14:textId="77777777" w:rsidR="0064189D" w:rsidRPr="00524BE3" w:rsidRDefault="0064189D" w:rsidP="00EC0BD1">
            <w:pPr>
              <w:rPr>
                <w:rFonts w:ascii="Verdana" w:hAnsi="Verdana" w:cstheme="minorHAnsi"/>
                <w:bCs/>
                <w:i/>
                <w:iCs/>
                <w:szCs w:val="22"/>
              </w:rPr>
            </w:pPr>
          </w:p>
          <w:p w14:paraId="22D7A027" w14:textId="445F495D" w:rsidR="0064189D" w:rsidRPr="00CD6994" w:rsidRDefault="0064189D" w:rsidP="00280E8D">
            <w:pPr>
              <w:rPr>
                <w:rFonts w:ascii="Verdana" w:hAnsi="Verdana" w:cstheme="minorHAnsi"/>
                <w:szCs w:val="22"/>
              </w:rPr>
            </w:pPr>
          </w:p>
        </w:tc>
        <w:tc>
          <w:tcPr>
            <w:tcW w:w="2434" w:type="dxa"/>
            <w:vAlign w:val="center"/>
          </w:tcPr>
          <w:p w14:paraId="11543DBB" w14:textId="09EC3A7B" w:rsidR="00524BE3" w:rsidRDefault="00524BE3" w:rsidP="00524BE3">
            <w:pPr>
              <w:rPr>
                <w:rFonts w:ascii="Verdana" w:hAnsi="Verdana"/>
                <w:b/>
                <w:snapToGrid/>
              </w:rPr>
            </w:pPr>
            <w:r>
              <w:rPr>
                <w:rFonts w:ascii="Verdana" w:hAnsi="Verdana"/>
                <w:b/>
                <w:snapToGrid/>
              </w:rPr>
              <w:t xml:space="preserve">High </w:t>
            </w:r>
          </w:p>
          <w:p w14:paraId="67D0F1EB" w14:textId="77777777" w:rsidR="00524BE3" w:rsidRPr="00A12F57" w:rsidRDefault="00524BE3" w:rsidP="00524BE3">
            <w:pPr>
              <w:rPr>
                <w:rFonts w:ascii="Verdana" w:hAnsi="Verdana"/>
                <w:b/>
                <w:snapToGrid/>
              </w:rPr>
            </w:pPr>
            <w:r>
              <w:rPr>
                <w:rFonts w:ascii="Verdana" w:hAnsi="Verdana"/>
                <w:b/>
                <w:snapToGrid/>
              </w:rPr>
              <w:t>Mark Band 2</w:t>
            </w:r>
          </w:p>
          <w:p w14:paraId="55DDAD0B" w14:textId="77777777" w:rsidR="00524BE3" w:rsidRPr="00A12F57" w:rsidRDefault="00524BE3" w:rsidP="00524BE3">
            <w:pPr>
              <w:rPr>
                <w:rFonts w:ascii="Verdana" w:hAnsi="Verdana"/>
                <w:b/>
                <w:snapToGrid/>
              </w:rPr>
            </w:pPr>
          </w:p>
          <w:p w14:paraId="232F0E38" w14:textId="344475AF" w:rsidR="0064189D" w:rsidRPr="00A12F57" w:rsidRDefault="0064189D" w:rsidP="00A70422">
            <w:pPr>
              <w:rPr>
                <w:rFonts w:ascii="Verdana" w:hAnsi="Verdana"/>
                <w:b/>
                <w:snapToGrid/>
              </w:rPr>
            </w:pPr>
          </w:p>
        </w:tc>
      </w:tr>
    </w:tbl>
    <w:p w14:paraId="5736B684" w14:textId="2C095B0E" w:rsidR="00811BF9" w:rsidRDefault="00811BF9">
      <w:pPr>
        <w:rPr>
          <w:i/>
          <w:iCs/>
        </w:rPr>
      </w:pPr>
    </w:p>
    <w:p w14:paraId="1BE315CD" w14:textId="43D105CF" w:rsidR="009E70B0" w:rsidRPr="009E70B0" w:rsidRDefault="009E70B0">
      <w:pPr>
        <w:rPr>
          <w:i/>
          <w:iCs/>
        </w:rPr>
      </w:pPr>
      <w:r>
        <w:rPr>
          <w:i/>
          <w:iCs/>
        </w:rPr>
        <w:t xml:space="preserve">Centre assessors should provide clear indication on the Candidate Record Sheet if the +1 has been awarded for an assessment objective (e.g. AO4= 5 +1) </w:t>
      </w:r>
    </w:p>
    <w:sectPr w:rsidR="009E70B0" w:rsidRPr="009E70B0" w:rsidSect="00936CE5">
      <w:pgSz w:w="16838" w:h="11906" w:orient="landscape"/>
      <w:pgMar w:top="719" w:right="1440" w:bottom="36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AFD"/>
    <w:rsid w:val="000C5B8C"/>
    <w:rsid w:val="001E53DD"/>
    <w:rsid w:val="00233F5B"/>
    <w:rsid w:val="00280E8D"/>
    <w:rsid w:val="002E069A"/>
    <w:rsid w:val="00312A38"/>
    <w:rsid w:val="003448BE"/>
    <w:rsid w:val="003454E2"/>
    <w:rsid w:val="003B523A"/>
    <w:rsid w:val="003E435F"/>
    <w:rsid w:val="0042106E"/>
    <w:rsid w:val="00421599"/>
    <w:rsid w:val="00494C19"/>
    <w:rsid w:val="004C2465"/>
    <w:rsid w:val="004C364A"/>
    <w:rsid w:val="004F0D72"/>
    <w:rsid w:val="00517027"/>
    <w:rsid w:val="00524BE3"/>
    <w:rsid w:val="005B3E6D"/>
    <w:rsid w:val="0064189D"/>
    <w:rsid w:val="00652B45"/>
    <w:rsid w:val="006670B7"/>
    <w:rsid w:val="00782486"/>
    <w:rsid w:val="00787480"/>
    <w:rsid w:val="007929E0"/>
    <w:rsid w:val="00795BC0"/>
    <w:rsid w:val="007F3688"/>
    <w:rsid w:val="00811BF9"/>
    <w:rsid w:val="00866401"/>
    <w:rsid w:val="008B1A12"/>
    <w:rsid w:val="008D3CC8"/>
    <w:rsid w:val="008F7529"/>
    <w:rsid w:val="0093162D"/>
    <w:rsid w:val="00936CE5"/>
    <w:rsid w:val="009E70B0"/>
    <w:rsid w:val="009F5FB2"/>
    <w:rsid w:val="00A45D46"/>
    <w:rsid w:val="00A70422"/>
    <w:rsid w:val="00A872C5"/>
    <w:rsid w:val="00AE14E0"/>
    <w:rsid w:val="00B7652A"/>
    <w:rsid w:val="00B93AFD"/>
    <w:rsid w:val="00BC195C"/>
    <w:rsid w:val="00BC41A8"/>
    <w:rsid w:val="00C46F4E"/>
    <w:rsid w:val="00CC663C"/>
    <w:rsid w:val="00CD6994"/>
    <w:rsid w:val="00DB4DF0"/>
    <w:rsid w:val="00E63A86"/>
    <w:rsid w:val="00E701C6"/>
    <w:rsid w:val="00E77B85"/>
    <w:rsid w:val="00EC0BD1"/>
    <w:rsid w:val="00EE463F"/>
    <w:rsid w:val="00F5085C"/>
    <w:rsid w:val="00F74816"/>
    <w:rsid w:val="00FB4A02"/>
    <w:rsid w:val="00FF393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B331C"/>
  <w15:chartTrackingRefBased/>
  <w15:docId w15:val="{5C98BCE5-5A58-1B47-8F39-B8F05B103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480"/>
    <w:rPr>
      <w:rFonts w:ascii="Times New Roman" w:eastAsia="Times New Roman" w:hAnsi="Times New Roman" w:cs="Times New Roman"/>
      <w:snapToGrid w:val="0"/>
      <w:kern w:val="0"/>
      <w:sz w:val="22"/>
      <w:szCs w:val="20"/>
      <w:lang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787480"/>
    <w:pPr>
      <w:spacing w:before="60" w:after="60" w:line="260" w:lineRule="atLeast"/>
    </w:pPr>
    <w:rPr>
      <w:rFonts w:ascii="Trebuchet MS" w:hAnsi="Trebuchet MS"/>
      <w:snapToGrid/>
    </w:rPr>
  </w:style>
  <w:style w:type="paragraph" w:customStyle="1" w:styleId="TableParagraph">
    <w:name w:val="Table Paragraph"/>
    <w:basedOn w:val="Normal"/>
    <w:uiPriority w:val="1"/>
    <w:qFormat/>
    <w:rsid w:val="00787480"/>
    <w:pPr>
      <w:widowControl w:val="0"/>
      <w:autoSpaceDE w:val="0"/>
      <w:autoSpaceDN w:val="0"/>
    </w:pPr>
    <w:rPr>
      <w:rFonts w:ascii="Verdana" w:eastAsia="Verdana" w:hAnsi="Verdana" w:cs="Verdana"/>
      <w:snapToGrid/>
      <w:szCs w:val="22"/>
      <w:lang w:val="en-US"/>
    </w:rPr>
  </w:style>
  <w:style w:type="character" w:styleId="Hyperlink">
    <w:name w:val="Hyperlink"/>
    <w:basedOn w:val="DefaultParagraphFont"/>
    <w:uiPriority w:val="99"/>
    <w:unhideWhenUsed/>
    <w:rsid w:val="009F5FB2"/>
    <w:rPr>
      <w:color w:val="0563C1" w:themeColor="hyperlink"/>
      <w:u w:val="single"/>
    </w:rPr>
  </w:style>
  <w:style w:type="paragraph" w:customStyle="1" w:styleId="Default">
    <w:name w:val="Default"/>
    <w:rsid w:val="00312A38"/>
    <w:pPr>
      <w:autoSpaceDE w:val="0"/>
      <w:autoSpaceDN w:val="0"/>
      <w:adjustRightInd w:val="0"/>
    </w:pPr>
    <w:rPr>
      <w:rFonts w:ascii="Calibri" w:hAnsi="Calibri" w:cs="Calibri"/>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achelsteele/Desktop/P304_jan24/Stand/Commentaries/Piece4_4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Piece4_48.dotx</Template>
  <TotalTime>52</TotalTime>
  <Pages>2</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steele</dc:creator>
  <cp:keywords/>
  <dc:description/>
  <cp:lastModifiedBy>Rachel Steele</cp:lastModifiedBy>
  <cp:revision>8</cp:revision>
  <dcterms:created xsi:type="dcterms:W3CDTF">2024-08-02T10:53:00Z</dcterms:created>
  <dcterms:modified xsi:type="dcterms:W3CDTF">2024-09-03T12:00:00Z</dcterms:modified>
</cp:coreProperties>
</file>