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5A9398CC"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5AFF65B5" w14:textId="41853823"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lastRenderedPageBreak/>
        <w:t>International A level French Unit 1 WFR01 Commentary</w:t>
      </w:r>
    </w:p>
    <w:p w14:paraId="12EDB7DC" w14:textId="77777777" w:rsidR="00D932E0" w:rsidRPr="00907E41" w:rsidRDefault="00D932E0" w:rsidP="00907E41">
      <w:pPr>
        <w:pStyle w:val="Default"/>
        <w:spacing w:line="276" w:lineRule="auto"/>
        <w:ind w:left="-567"/>
        <w:jc w:val="both"/>
        <w:rPr>
          <w:rFonts w:ascii="Open Sans" w:hAnsi="Open Sans" w:cs="Open Sans"/>
          <w:sz w:val="22"/>
          <w:szCs w:val="22"/>
        </w:rPr>
      </w:pPr>
    </w:p>
    <w:p w14:paraId="44B32400"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E grade summer 2023</w:t>
      </w:r>
    </w:p>
    <w:p w14:paraId="2778ECDE"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Total mark: 17/40 (E grade boundary 2306 = 16/40)</w:t>
      </w:r>
    </w:p>
    <w:p w14:paraId="6523C475" w14:textId="77777777" w:rsidR="00D932E0" w:rsidRPr="00907E41" w:rsidRDefault="00D932E0" w:rsidP="00907E41">
      <w:pPr>
        <w:pStyle w:val="Default"/>
        <w:spacing w:line="276" w:lineRule="auto"/>
        <w:ind w:left="-567"/>
        <w:jc w:val="both"/>
        <w:rPr>
          <w:rFonts w:ascii="Open Sans" w:hAnsi="Open Sans" w:cs="Open Sans"/>
          <w:sz w:val="22"/>
          <w:szCs w:val="22"/>
        </w:rPr>
      </w:pPr>
    </w:p>
    <w:p w14:paraId="2834A51B"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Stimulus: Education and employment 1A</w:t>
      </w:r>
    </w:p>
    <w:p w14:paraId="06AEC62B" w14:textId="77777777" w:rsidR="00D932E0" w:rsidRPr="00907E41" w:rsidRDefault="00D932E0" w:rsidP="00907E41">
      <w:pPr>
        <w:pStyle w:val="Default"/>
        <w:spacing w:line="276" w:lineRule="auto"/>
        <w:ind w:left="-567"/>
        <w:jc w:val="both"/>
        <w:rPr>
          <w:rFonts w:ascii="Open Sans" w:hAnsi="Open Sans" w:cs="Open Sans"/>
          <w:sz w:val="22"/>
          <w:szCs w:val="22"/>
        </w:rPr>
      </w:pPr>
    </w:p>
    <w:p w14:paraId="79F50C6D"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Conduct of the test</w:t>
      </w:r>
    </w:p>
    <w:p w14:paraId="6C86304E" w14:textId="66116835"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 xml:space="preserve">This test is conducted </w:t>
      </w:r>
      <w:r w:rsidR="00907E41" w:rsidRPr="00907E41">
        <w:rPr>
          <w:rFonts w:ascii="Open Sans" w:hAnsi="Open Sans" w:cs="Open Sans"/>
          <w:sz w:val="22"/>
          <w:szCs w:val="22"/>
        </w:rPr>
        <w:t>correctly,</w:t>
      </w:r>
      <w:r w:rsidRPr="00907E41">
        <w:rPr>
          <w:rFonts w:ascii="Open Sans" w:hAnsi="Open Sans" w:cs="Open Sans"/>
          <w:sz w:val="22"/>
          <w:szCs w:val="22"/>
        </w:rPr>
        <w:t xml:space="preserve"> and the teacher-examiner demonstrates examples of good practice.</w:t>
      </w:r>
    </w:p>
    <w:p w14:paraId="72F820E9" w14:textId="77777777" w:rsidR="00D932E0" w:rsidRPr="00907E41" w:rsidRDefault="00D932E0" w:rsidP="00907E41">
      <w:pPr>
        <w:pStyle w:val="Default"/>
        <w:spacing w:line="276" w:lineRule="auto"/>
        <w:ind w:left="-567"/>
        <w:jc w:val="both"/>
        <w:rPr>
          <w:rFonts w:ascii="Open Sans" w:hAnsi="Open Sans" w:cs="Open Sans"/>
          <w:sz w:val="22"/>
          <w:szCs w:val="22"/>
        </w:rPr>
      </w:pPr>
    </w:p>
    <w:p w14:paraId="6B020CC0" w14:textId="23BFE664"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Section A</w:t>
      </w:r>
    </w:p>
    <w:p w14:paraId="48B01F2E"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In Section A, the teacher-examiner asks the four compulsory questions on the teacher-examiner version of the stimulus card exactly as they are written. This is a requirement of this section of the exam.</w:t>
      </w:r>
    </w:p>
    <w:p w14:paraId="27A90440" w14:textId="77777777" w:rsidR="00D932E0" w:rsidRPr="00907E41" w:rsidRDefault="00D932E0" w:rsidP="00907E41">
      <w:pPr>
        <w:pStyle w:val="Default"/>
        <w:spacing w:line="276" w:lineRule="auto"/>
        <w:ind w:left="-567"/>
        <w:jc w:val="both"/>
        <w:rPr>
          <w:rFonts w:ascii="Open Sans" w:hAnsi="Open Sans" w:cs="Open Sans"/>
          <w:sz w:val="22"/>
          <w:szCs w:val="22"/>
        </w:rPr>
      </w:pPr>
    </w:p>
    <w:p w14:paraId="1A14CB3E"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The total time for the WFR01 test is 8-10 minutes. Timing begins as the teacher-examiner begins to ask the first question in Section A. In theory the timing is split equally between Sections A and B. However, in practice, Section A often lasts less than four minutes, as is the case in this example (Section A of this test lasts 2 minutes 30 seconds). This is not an issue. It is important that teacher-examiners do as this teacher-examiner does, and move on to Section B as soon as the candidate has answered all four questions in Section A. Additional questions must not be asked in Section A.</w:t>
      </w:r>
    </w:p>
    <w:p w14:paraId="2AC5C1A5" w14:textId="77777777" w:rsidR="00D932E0" w:rsidRPr="00907E41" w:rsidRDefault="00D932E0" w:rsidP="00907E41">
      <w:pPr>
        <w:pStyle w:val="Default"/>
        <w:spacing w:line="276" w:lineRule="auto"/>
        <w:ind w:left="-567"/>
        <w:jc w:val="both"/>
        <w:rPr>
          <w:rFonts w:ascii="Open Sans" w:hAnsi="Open Sans" w:cs="Open Sans"/>
          <w:sz w:val="22"/>
          <w:szCs w:val="22"/>
        </w:rPr>
      </w:pPr>
    </w:p>
    <w:p w14:paraId="7FA2B2A6"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Teacher-examiners must ensure that the total test time is 8-10 minutes. Therefore, if the candidate answers all four questions in Section A in less than four minutes, Section B must be extended so that the total test time is 8-10 minutes.</w:t>
      </w:r>
    </w:p>
    <w:p w14:paraId="1FAC9719" w14:textId="77777777" w:rsidR="00D932E0" w:rsidRPr="00907E41" w:rsidRDefault="00D932E0" w:rsidP="00907E41">
      <w:pPr>
        <w:pStyle w:val="Default"/>
        <w:spacing w:line="276" w:lineRule="auto"/>
        <w:ind w:left="-567"/>
        <w:jc w:val="both"/>
        <w:rPr>
          <w:rFonts w:ascii="Open Sans" w:hAnsi="Open Sans" w:cs="Open Sans"/>
          <w:sz w:val="22"/>
          <w:szCs w:val="22"/>
        </w:rPr>
      </w:pPr>
    </w:p>
    <w:p w14:paraId="3B2D593F"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In this example Section A lasts 2 minutes 30 seconds and the total test time is 8 minutes 45 seconds.</w:t>
      </w:r>
    </w:p>
    <w:p w14:paraId="0975F8AA" w14:textId="77777777" w:rsidR="00D932E0" w:rsidRPr="00907E41" w:rsidRDefault="00D932E0" w:rsidP="00907E41">
      <w:pPr>
        <w:pStyle w:val="Default"/>
        <w:spacing w:line="276" w:lineRule="auto"/>
        <w:ind w:left="-567"/>
        <w:jc w:val="both"/>
        <w:rPr>
          <w:rFonts w:ascii="Open Sans" w:hAnsi="Open Sans" w:cs="Open Sans"/>
          <w:sz w:val="22"/>
          <w:szCs w:val="22"/>
        </w:rPr>
      </w:pPr>
    </w:p>
    <w:p w14:paraId="06055707" w14:textId="13F65722"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Section B</w:t>
      </w:r>
    </w:p>
    <w:p w14:paraId="15E86703"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 xml:space="preserve">In Section B the teacher-examiner asks questions which move away from the topic of the stimulus card but relate to the sub-topics of the GTA being tested. In this case the GTA is </w:t>
      </w:r>
      <w:r w:rsidRPr="00907E41">
        <w:rPr>
          <w:rFonts w:ascii="Open Sans" w:hAnsi="Open Sans" w:cs="Open Sans"/>
          <w:i/>
          <w:iCs/>
          <w:sz w:val="22"/>
          <w:szCs w:val="22"/>
        </w:rPr>
        <w:t>Education and employment</w:t>
      </w:r>
      <w:r w:rsidRPr="00907E41">
        <w:rPr>
          <w:rFonts w:ascii="Open Sans" w:hAnsi="Open Sans" w:cs="Open Sans"/>
          <w:sz w:val="22"/>
          <w:szCs w:val="22"/>
        </w:rPr>
        <w:t xml:space="preserve">, for which the sub-topics are </w:t>
      </w:r>
      <w:r w:rsidRPr="00907E41">
        <w:rPr>
          <w:rFonts w:ascii="Open Sans" w:hAnsi="Open Sans" w:cs="Open Sans"/>
          <w:i/>
          <w:iCs/>
          <w:sz w:val="22"/>
          <w:szCs w:val="22"/>
        </w:rPr>
        <w:t xml:space="preserve">Education systems and types of schooling </w:t>
      </w:r>
      <w:r w:rsidRPr="00907E41">
        <w:rPr>
          <w:rFonts w:ascii="Open Sans" w:hAnsi="Open Sans" w:cs="Open Sans"/>
          <w:sz w:val="22"/>
          <w:szCs w:val="22"/>
        </w:rPr>
        <w:t>(the topic of the stimulus text),</w:t>
      </w:r>
      <w:r w:rsidRPr="00907E41">
        <w:rPr>
          <w:rFonts w:ascii="Open Sans" w:hAnsi="Open Sans" w:cs="Open Sans"/>
          <w:i/>
          <w:iCs/>
          <w:sz w:val="22"/>
          <w:szCs w:val="22"/>
        </w:rPr>
        <w:t xml:space="preserve"> Pupil/student life, Volunteering and internships </w:t>
      </w:r>
      <w:r w:rsidRPr="00907E41">
        <w:rPr>
          <w:rFonts w:ascii="Open Sans" w:hAnsi="Open Sans" w:cs="Open Sans"/>
          <w:sz w:val="22"/>
          <w:szCs w:val="22"/>
        </w:rPr>
        <w:t xml:space="preserve">and </w:t>
      </w:r>
      <w:r w:rsidRPr="00907E41">
        <w:rPr>
          <w:rFonts w:ascii="Open Sans" w:hAnsi="Open Sans" w:cs="Open Sans"/>
          <w:i/>
          <w:iCs/>
          <w:sz w:val="22"/>
          <w:szCs w:val="22"/>
        </w:rPr>
        <w:t>Jobs and unemployment</w:t>
      </w:r>
      <w:r w:rsidRPr="00907E41">
        <w:rPr>
          <w:rFonts w:ascii="Open Sans" w:hAnsi="Open Sans" w:cs="Open Sans"/>
          <w:sz w:val="22"/>
          <w:szCs w:val="22"/>
        </w:rPr>
        <w:t xml:space="preserve">. </w:t>
      </w:r>
      <w:proofErr w:type="gramStart"/>
      <w:r w:rsidRPr="00907E41">
        <w:rPr>
          <w:rFonts w:ascii="Open Sans" w:hAnsi="Open Sans" w:cs="Open Sans"/>
          <w:sz w:val="22"/>
          <w:szCs w:val="22"/>
        </w:rPr>
        <w:t>All of</w:t>
      </w:r>
      <w:proofErr w:type="gramEnd"/>
      <w:r w:rsidRPr="00907E41">
        <w:rPr>
          <w:rFonts w:ascii="Open Sans" w:hAnsi="Open Sans" w:cs="Open Sans"/>
          <w:sz w:val="22"/>
          <w:szCs w:val="22"/>
        </w:rPr>
        <w:t xml:space="preserve"> the questions asked by this teacher-examiner relate to the correct sub-topics. </w:t>
      </w:r>
    </w:p>
    <w:p w14:paraId="0FC48BCD" w14:textId="77777777" w:rsidR="00D932E0" w:rsidRPr="00907E41" w:rsidRDefault="00D932E0" w:rsidP="00907E41">
      <w:pPr>
        <w:pStyle w:val="Default"/>
        <w:spacing w:line="276" w:lineRule="auto"/>
        <w:ind w:left="-567"/>
        <w:jc w:val="both"/>
        <w:rPr>
          <w:rFonts w:ascii="Open Sans" w:hAnsi="Open Sans" w:cs="Open Sans"/>
          <w:sz w:val="22"/>
          <w:szCs w:val="22"/>
        </w:rPr>
      </w:pPr>
    </w:p>
    <w:p w14:paraId="0233E34F"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sz w:val="22"/>
          <w:szCs w:val="22"/>
        </w:rPr>
        <w:lastRenderedPageBreak/>
        <w:t xml:space="preserve">It is important that Section B be a conversation, not just a string of questions and answers. The teacher-examiner and the candidate need to listen to what the other says and to respond to this. In this test, for example, the teacher-examiner picks up on what the candidate says about technology and uses this to inform her next question: </w:t>
      </w:r>
      <w:proofErr w:type="spellStart"/>
      <w:r w:rsidRPr="00907E41">
        <w:rPr>
          <w:rFonts w:ascii="Open Sans" w:hAnsi="Open Sans" w:cs="Open Sans"/>
          <w:i/>
          <w:iCs/>
          <w:sz w:val="22"/>
          <w:szCs w:val="22"/>
        </w:rPr>
        <w:t>Vous</w:t>
      </w:r>
      <w:proofErr w:type="spellEnd"/>
      <w:r w:rsidRPr="00907E41">
        <w:rPr>
          <w:rFonts w:ascii="Open Sans" w:hAnsi="Open Sans" w:cs="Open Sans"/>
          <w:i/>
          <w:iCs/>
          <w:sz w:val="22"/>
          <w:szCs w:val="22"/>
        </w:rPr>
        <w:t xml:space="preserve"> </w:t>
      </w:r>
      <w:proofErr w:type="spellStart"/>
      <w:r w:rsidRPr="00907E41">
        <w:rPr>
          <w:rFonts w:ascii="Open Sans" w:hAnsi="Open Sans" w:cs="Open Sans"/>
          <w:i/>
          <w:iCs/>
          <w:sz w:val="22"/>
          <w:szCs w:val="22"/>
        </w:rPr>
        <w:t>parlez</w:t>
      </w:r>
      <w:proofErr w:type="spellEnd"/>
      <w:r w:rsidRPr="00907E41">
        <w:rPr>
          <w:rFonts w:ascii="Open Sans" w:hAnsi="Open Sans" w:cs="Open Sans"/>
          <w:i/>
          <w:iCs/>
          <w:sz w:val="22"/>
          <w:szCs w:val="22"/>
        </w:rPr>
        <w:t xml:space="preserve"> de la </w:t>
      </w:r>
      <w:proofErr w:type="spellStart"/>
      <w:r w:rsidRPr="00907E41">
        <w:rPr>
          <w:rFonts w:ascii="Open Sans" w:hAnsi="Open Sans" w:cs="Open Sans"/>
          <w:i/>
          <w:iCs/>
          <w:sz w:val="22"/>
          <w:szCs w:val="22"/>
        </w:rPr>
        <w:t>technologie</w:t>
      </w:r>
      <w:proofErr w:type="spellEnd"/>
      <w:r w:rsidRPr="00907E41">
        <w:rPr>
          <w:rFonts w:ascii="Open Sans" w:hAnsi="Open Sans" w:cs="Open Sans"/>
          <w:i/>
          <w:iCs/>
          <w:sz w:val="22"/>
          <w:szCs w:val="22"/>
        </w:rPr>
        <w:t>. Est-</w:t>
      </w:r>
      <w:proofErr w:type="spellStart"/>
      <w:r w:rsidRPr="00907E41">
        <w:rPr>
          <w:rFonts w:ascii="Open Sans" w:hAnsi="Open Sans" w:cs="Open Sans"/>
          <w:i/>
          <w:iCs/>
          <w:sz w:val="22"/>
          <w:szCs w:val="22"/>
        </w:rPr>
        <w:t>ce</w:t>
      </w:r>
      <w:proofErr w:type="spellEnd"/>
      <w:r w:rsidRPr="00907E41">
        <w:rPr>
          <w:rFonts w:ascii="Open Sans" w:hAnsi="Open Sans" w:cs="Open Sans"/>
          <w:i/>
          <w:iCs/>
          <w:sz w:val="22"/>
          <w:szCs w:val="22"/>
        </w:rPr>
        <w:t xml:space="preserve"> que </w:t>
      </w:r>
      <w:proofErr w:type="spellStart"/>
      <w:r w:rsidRPr="00907E41">
        <w:rPr>
          <w:rFonts w:ascii="Open Sans" w:hAnsi="Open Sans" w:cs="Open Sans"/>
          <w:i/>
          <w:iCs/>
          <w:sz w:val="22"/>
          <w:szCs w:val="22"/>
        </w:rPr>
        <w:t>vous</w:t>
      </w:r>
      <w:proofErr w:type="spellEnd"/>
      <w:r w:rsidRPr="00907E41">
        <w:rPr>
          <w:rFonts w:ascii="Open Sans" w:hAnsi="Open Sans" w:cs="Open Sans"/>
          <w:i/>
          <w:iCs/>
          <w:sz w:val="22"/>
          <w:szCs w:val="22"/>
        </w:rPr>
        <w:t xml:space="preserve"> </w:t>
      </w:r>
      <w:proofErr w:type="spellStart"/>
      <w:r w:rsidRPr="00907E41">
        <w:rPr>
          <w:rFonts w:ascii="Open Sans" w:hAnsi="Open Sans" w:cs="Open Sans"/>
          <w:i/>
          <w:iCs/>
          <w:sz w:val="22"/>
          <w:szCs w:val="22"/>
        </w:rPr>
        <w:t>pensez</w:t>
      </w:r>
      <w:proofErr w:type="spellEnd"/>
      <w:r w:rsidRPr="00907E41">
        <w:rPr>
          <w:rFonts w:ascii="Open Sans" w:hAnsi="Open Sans" w:cs="Open Sans"/>
          <w:i/>
          <w:iCs/>
          <w:sz w:val="22"/>
          <w:szCs w:val="22"/>
        </w:rPr>
        <w:t xml:space="preserve"> que les robots</w:t>
      </w:r>
      <w:proofErr w:type="gramStart"/>
      <w:r w:rsidRPr="00907E41">
        <w:rPr>
          <w:rFonts w:ascii="Open Sans" w:hAnsi="Open Sans" w:cs="Open Sans"/>
          <w:i/>
          <w:iCs/>
          <w:sz w:val="22"/>
          <w:szCs w:val="22"/>
        </w:rPr>
        <w:t>… ?</w:t>
      </w:r>
      <w:proofErr w:type="gramEnd"/>
    </w:p>
    <w:p w14:paraId="1BA40B25" w14:textId="77777777" w:rsidR="00D932E0" w:rsidRPr="00907E41" w:rsidRDefault="00D932E0" w:rsidP="00907E41">
      <w:pPr>
        <w:pStyle w:val="Default"/>
        <w:spacing w:line="276" w:lineRule="auto"/>
        <w:ind w:left="-567"/>
        <w:jc w:val="both"/>
        <w:rPr>
          <w:rFonts w:ascii="Open Sans" w:hAnsi="Open Sans" w:cs="Open Sans"/>
          <w:sz w:val="22"/>
          <w:szCs w:val="22"/>
        </w:rPr>
      </w:pPr>
    </w:p>
    <w:p w14:paraId="2A9FCCAB" w14:textId="0318F769" w:rsidR="00D932E0" w:rsidRPr="00907E41" w:rsidRDefault="00D932E0" w:rsidP="00907E41">
      <w:pPr>
        <w:pStyle w:val="Default"/>
        <w:spacing w:line="276" w:lineRule="auto"/>
        <w:ind w:left="-567"/>
        <w:jc w:val="both"/>
        <w:rPr>
          <w:rFonts w:ascii="Open Sans" w:hAnsi="Open Sans" w:cs="Open Sans"/>
          <w:color w:val="auto"/>
          <w:sz w:val="22"/>
          <w:szCs w:val="22"/>
        </w:rPr>
      </w:pPr>
      <w:r w:rsidRPr="00907E41">
        <w:rPr>
          <w:rFonts w:ascii="Open Sans" w:hAnsi="Open Sans" w:cs="Open Sans"/>
          <w:sz w:val="22"/>
          <w:szCs w:val="22"/>
        </w:rPr>
        <w:t xml:space="preserve">The way in which this teacher-examiner conducts this test is an example of good practice. When </w:t>
      </w:r>
      <w:proofErr w:type="gramStart"/>
      <w:r w:rsidRPr="00907E41">
        <w:rPr>
          <w:rFonts w:ascii="Open Sans" w:hAnsi="Open Sans" w:cs="Open Sans"/>
          <w:sz w:val="22"/>
          <w:szCs w:val="22"/>
        </w:rPr>
        <w:t>it is clear that the</w:t>
      </w:r>
      <w:proofErr w:type="gramEnd"/>
      <w:r w:rsidRPr="00907E41">
        <w:rPr>
          <w:rFonts w:ascii="Open Sans" w:hAnsi="Open Sans" w:cs="Open Sans"/>
          <w:sz w:val="22"/>
          <w:szCs w:val="22"/>
        </w:rPr>
        <w:t xml:space="preserve"> candidate cannot answer the question about </w:t>
      </w:r>
      <w:r w:rsidRPr="00907E41">
        <w:rPr>
          <w:rFonts w:ascii="Open Sans" w:hAnsi="Open Sans" w:cs="Open Sans"/>
          <w:i/>
          <w:iCs/>
          <w:sz w:val="22"/>
          <w:szCs w:val="22"/>
        </w:rPr>
        <w:t xml:space="preserve">les stages, </w:t>
      </w:r>
      <w:r w:rsidRPr="00907E41">
        <w:rPr>
          <w:rFonts w:ascii="Open Sans" w:hAnsi="Open Sans" w:cs="Open Sans"/>
          <w:sz w:val="22"/>
          <w:szCs w:val="22"/>
        </w:rPr>
        <w:t xml:space="preserve">she moves on to another question. The teacher-examiner does not speak too much; in the test </w:t>
      </w:r>
      <w:proofErr w:type="gramStart"/>
      <w:r w:rsidRPr="00907E41">
        <w:rPr>
          <w:rFonts w:ascii="Open Sans" w:hAnsi="Open Sans" w:cs="Open Sans"/>
          <w:sz w:val="22"/>
          <w:szCs w:val="22"/>
        </w:rPr>
        <w:t>as a whole we</w:t>
      </w:r>
      <w:proofErr w:type="gramEnd"/>
      <w:r w:rsidRPr="00907E41">
        <w:rPr>
          <w:rFonts w:ascii="Open Sans" w:hAnsi="Open Sans" w:cs="Open Sans"/>
          <w:sz w:val="22"/>
          <w:szCs w:val="22"/>
        </w:rPr>
        <w:t xml:space="preserve"> hear the candidate speak much more than the teacher-examiner does.</w:t>
      </w:r>
      <w:r w:rsidRPr="00907E41">
        <w:rPr>
          <w:rFonts w:ascii="Open Sans" w:hAnsi="Open Sans" w:cs="Open Sans"/>
          <w:color w:val="auto"/>
          <w:sz w:val="22"/>
          <w:szCs w:val="22"/>
        </w:rPr>
        <w:t xml:space="preserve"> </w:t>
      </w:r>
    </w:p>
    <w:p w14:paraId="4F7B8CD1" w14:textId="77777777" w:rsidR="00D932E0" w:rsidRPr="00907E41" w:rsidRDefault="00D932E0" w:rsidP="00907E41">
      <w:pPr>
        <w:pStyle w:val="Default"/>
        <w:spacing w:line="276" w:lineRule="auto"/>
        <w:ind w:left="-567"/>
        <w:jc w:val="both"/>
        <w:rPr>
          <w:rFonts w:ascii="Open Sans" w:hAnsi="Open Sans" w:cs="Open Sans"/>
          <w:b/>
          <w:bCs/>
          <w:sz w:val="22"/>
          <w:szCs w:val="22"/>
        </w:rPr>
      </w:pPr>
    </w:p>
    <w:p w14:paraId="1E8F725D" w14:textId="6FD82CDE"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Assessment commentary </w:t>
      </w:r>
    </w:p>
    <w:p w14:paraId="11E6E684" w14:textId="77777777" w:rsidR="00D932E0" w:rsidRPr="00907E41" w:rsidRDefault="00D932E0" w:rsidP="00907E41">
      <w:pPr>
        <w:pStyle w:val="Default"/>
        <w:spacing w:line="276" w:lineRule="auto"/>
        <w:ind w:left="-567"/>
        <w:jc w:val="both"/>
        <w:rPr>
          <w:rFonts w:ascii="Open Sans" w:hAnsi="Open Sans" w:cs="Open Sans"/>
          <w:b/>
          <w:bCs/>
          <w:sz w:val="22"/>
          <w:szCs w:val="22"/>
        </w:rPr>
      </w:pPr>
    </w:p>
    <w:p w14:paraId="002320AC"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Quality of language (Accuracy) </w:t>
      </w:r>
    </w:p>
    <w:p w14:paraId="175E8F2A" w14:textId="0DD1453D"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Mark awarded – </w:t>
      </w:r>
      <w:proofErr w:type="gramStart"/>
      <w:r w:rsidRPr="00907E41">
        <w:rPr>
          <w:rFonts w:ascii="Open Sans" w:hAnsi="Open Sans" w:cs="Open Sans"/>
          <w:b/>
          <w:bCs/>
          <w:sz w:val="22"/>
          <w:szCs w:val="22"/>
        </w:rPr>
        <w:t>2/5</w:t>
      </w:r>
      <w:proofErr w:type="gramEnd"/>
      <w:r w:rsidRPr="00907E41">
        <w:rPr>
          <w:rFonts w:ascii="Open Sans" w:hAnsi="Open Sans" w:cs="Open Sans"/>
          <w:b/>
          <w:bCs/>
          <w:sz w:val="22"/>
          <w:szCs w:val="22"/>
        </w:rPr>
        <w:t xml:space="preserve"> </w:t>
      </w:r>
    </w:p>
    <w:p w14:paraId="21A708D0"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i/>
          <w:iCs/>
          <w:sz w:val="22"/>
          <w:szCs w:val="22"/>
        </w:rPr>
        <w:t>This mark is awarded for the candidate’s performance across both sections of the test, A and B.</w:t>
      </w:r>
    </w:p>
    <w:p w14:paraId="2009E323" w14:textId="77777777" w:rsidR="00D932E0" w:rsidRPr="00907E41" w:rsidRDefault="00D932E0" w:rsidP="00907E41">
      <w:pPr>
        <w:pStyle w:val="Default"/>
        <w:spacing w:line="276" w:lineRule="auto"/>
        <w:ind w:left="-567"/>
        <w:jc w:val="both"/>
        <w:rPr>
          <w:rFonts w:ascii="Open Sans" w:hAnsi="Open Sans" w:cs="Open Sans"/>
          <w:i/>
          <w:iCs/>
          <w:sz w:val="22"/>
          <w:szCs w:val="22"/>
        </w:rPr>
      </w:pPr>
    </w:p>
    <w:p w14:paraId="365B8BCF"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sz w:val="22"/>
          <w:szCs w:val="22"/>
        </w:rPr>
        <w:t xml:space="preserve">Though communication is often achieved, the candidate makes basic errors in her language and her pronunciation / intonation is not always comprehensible. This can lead to a breakdown in communication (for example when the candidate is attempting to express her views about robots and work, the use of </w:t>
      </w:r>
      <w:r w:rsidRPr="00907E41">
        <w:rPr>
          <w:rFonts w:ascii="Open Sans" w:hAnsi="Open Sans" w:cs="Open Sans"/>
          <w:i/>
          <w:iCs/>
          <w:sz w:val="22"/>
          <w:szCs w:val="22"/>
        </w:rPr>
        <w:t xml:space="preserve">les dos choses </w:t>
      </w:r>
      <w:r w:rsidRPr="00907E41">
        <w:rPr>
          <w:rFonts w:ascii="Open Sans" w:hAnsi="Open Sans" w:cs="Open Sans"/>
          <w:sz w:val="22"/>
          <w:szCs w:val="22"/>
        </w:rPr>
        <w:t xml:space="preserve">in place of </w:t>
      </w:r>
      <w:r w:rsidRPr="00907E41">
        <w:rPr>
          <w:rFonts w:ascii="Open Sans" w:hAnsi="Open Sans" w:cs="Open Sans"/>
          <w:i/>
          <w:iCs/>
          <w:sz w:val="22"/>
          <w:szCs w:val="22"/>
        </w:rPr>
        <w:t xml:space="preserve">les deux choses </w:t>
      </w:r>
      <w:r w:rsidRPr="00907E41">
        <w:rPr>
          <w:rFonts w:ascii="Open Sans" w:hAnsi="Open Sans" w:cs="Open Sans"/>
          <w:sz w:val="22"/>
          <w:szCs w:val="22"/>
        </w:rPr>
        <w:t xml:space="preserve">etc.). There are instances of accurate language and some accurate use of verb tenses other than the present tense (e.g. </w:t>
      </w:r>
      <w:r w:rsidRPr="00907E41">
        <w:rPr>
          <w:rFonts w:ascii="Open Sans" w:hAnsi="Open Sans" w:cs="Open Sans"/>
          <w:i/>
          <w:iCs/>
          <w:sz w:val="22"/>
          <w:szCs w:val="22"/>
        </w:rPr>
        <w:t xml:space="preserve">la </w:t>
      </w:r>
      <w:proofErr w:type="spellStart"/>
      <w:r w:rsidRPr="00907E41">
        <w:rPr>
          <w:rFonts w:ascii="Open Sans" w:hAnsi="Open Sans" w:cs="Open Sans"/>
          <w:i/>
          <w:iCs/>
          <w:sz w:val="22"/>
          <w:szCs w:val="22"/>
        </w:rPr>
        <w:t>technologie</w:t>
      </w:r>
      <w:proofErr w:type="spellEnd"/>
      <w:r w:rsidRPr="00907E41">
        <w:rPr>
          <w:rFonts w:ascii="Open Sans" w:hAnsi="Open Sans" w:cs="Open Sans"/>
          <w:i/>
          <w:iCs/>
          <w:sz w:val="22"/>
          <w:szCs w:val="22"/>
        </w:rPr>
        <w:t xml:space="preserve"> </w:t>
      </w:r>
      <w:proofErr w:type="spellStart"/>
      <w:r w:rsidRPr="00907E41">
        <w:rPr>
          <w:rFonts w:ascii="Open Sans" w:hAnsi="Open Sans" w:cs="Open Sans"/>
          <w:i/>
          <w:iCs/>
          <w:sz w:val="22"/>
          <w:szCs w:val="22"/>
        </w:rPr>
        <w:t>avancera</w:t>
      </w:r>
      <w:proofErr w:type="spellEnd"/>
      <w:r w:rsidRPr="00907E41">
        <w:rPr>
          <w:rFonts w:ascii="Open Sans" w:hAnsi="Open Sans" w:cs="Open Sans"/>
          <w:sz w:val="22"/>
          <w:szCs w:val="22"/>
        </w:rPr>
        <w:t xml:space="preserve">). However, </w:t>
      </w:r>
      <w:proofErr w:type="gramStart"/>
      <w:r w:rsidRPr="00907E41">
        <w:rPr>
          <w:rFonts w:ascii="Open Sans" w:hAnsi="Open Sans" w:cs="Open Sans"/>
          <w:sz w:val="22"/>
          <w:szCs w:val="22"/>
        </w:rPr>
        <w:t>as a result of</w:t>
      </w:r>
      <w:proofErr w:type="gramEnd"/>
      <w:r w:rsidRPr="00907E41">
        <w:rPr>
          <w:rFonts w:ascii="Open Sans" w:hAnsi="Open Sans" w:cs="Open Sans"/>
          <w:sz w:val="22"/>
          <w:szCs w:val="22"/>
        </w:rPr>
        <w:t xml:space="preserve"> errors in the accuracy of the language the candidate’s message is not always immediately comprehensible to the listener, who may have to listen very carefully to understand what she is saying. For these reasons, this performance fits the descriptors of a mark of 2 for </w:t>
      </w:r>
      <w:r w:rsidRPr="00907E41">
        <w:rPr>
          <w:rFonts w:ascii="Open Sans" w:hAnsi="Open Sans" w:cs="Open Sans"/>
          <w:i/>
          <w:iCs/>
          <w:sz w:val="22"/>
          <w:szCs w:val="22"/>
        </w:rPr>
        <w:t>Quality of language (Accuracy).</w:t>
      </w:r>
    </w:p>
    <w:p w14:paraId="710F52B9" w14:textId="77777777" w:rsidR="00D932E0" w:rsidRPr="00907E41" w:rsidRDefault="00D932E0" w:rsidP="00907E41">
      <w:pPr>
        <w:pStyle w:val="Default"/>
        <w:spacing w:line="276" w:lineRule="auto"/>
        <w:ind w:left="-567"/>
        <w:jc w:val="both"/>
        <w:rPr>
          <w:rFonts w:ascii="Open Sans" w:hAnsi="Open Sans" w:cs="Open Sans"/>
          <w:sz w:val="22"/>
          <w:szCs w:val="22"/>
        </w:rPr>
      </w:pPr>
    </w:p>
    <w:p w14:paraId="73E56AD4"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Quality of language (Range of lexis) </w:t>
      </w:r>
    </w:p>
    <w:p w14:paraId="152F7320" w14:textId="3059E078"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Mark awarded – </w:t>
      </w:r>
      <w:proofErr w:type="gramStart"/>
      <w:r w:rsidRPr="00907E41">
        <w:rPr>
          <w:rFonts w:ascii="Open Sans" w:hAnsi="Open Sans" w:cs="Open Sans"/>
          <w:b/>
          <w:bCs/>
          <w:sz w:val="22"/>
          <w:szCs w:val="22"/>
        </w:rPr>
        <w:t>2/5</w:t>
      </w:r>
      <w:proofErr w:type="gramEnd"/>
      <w:r w:rsidRPr="00907E41">
        <w:rPr>
          <w:rFonts w:ascii="Open Sans" w:hAnsi="Open Sans" w:cs="Open Sans"/>
          <w:b/>
          <w:bCs/>
          <w:sz w:val="22"/>
          <w:szCs w:val="22"/>
        </w:rPr>
        <w:t xml:space="preserve"> </w:t>
      </w:r>
    </w:p>
    <w:p w14:paraId="58605BE7"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i/>
          <w:iCs/>
          <w:sz w:val="22"/>
          <w:szCs w:val="22"/>
        </w:rPr>
        <w:t>This mark is awarded for the candidate’s performance across both sections of the test, A and B.</w:t>
      </w:r>
    </w:p>
    <w:p w14:paraId="03B29F7D" w14:textId="77777777" w:rsidR="00D932E0" w:rsidRPr="00907E41" w:rsidRDefault="00D932E0" w:rsidP="00907E41">
      <w:pPr>
        <w:pStyle w:val="Default"/>
        <w:spacing w:line="276" w:lineRule="auto"/>
        <w:ind w:left="-567"/>
        <w:jc w:val="both"/>
        <w:rPr>
          <w:rFonts w:ascii="Open Sans" w:hAnsi="Open Sans" w:cs="Open Sans"/>
          <w:b/>
          <w:bCs/>
          <w:sz w:val="22"/>
          <w:szCs w:val="22"/>
        </w:rPr>
      </w:pPr>
    </w:p>
    <w:p w14:paraId="79CE75C5" w14:textId="622606F4"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 xml:space="preserve">This candidate </w:t>
      </w:r>
      <w:proofErr w:type="gramStart"/>
      <w:r w:rsidRPr="00907E41">
        <w:rPr>
          <w:rFonts w:ascii="Open Sans" w:hAnsi="Open Sans" w:cs="Open Sans"/>
          <w:sz w:val="22"/>
          <w:szCs w:val="22"/>
        </w:rPr>
        <w:t>is able to</w:t>
      </w:r>
      <w:proofErr w:type="gramEnd"/>
      <w:r w:rsidRPr="00907E41">
        <w:rPr>
          <w:rFonts w:ascii="Open Sans" w:hAnsi="Open Sans" w:cs="Open Sans"/>
          <w:sz w:val="22"/>
          <w:szCs w:val="22"/>
        </w:rPr>
        <w:t xml:space="preserve"> use some vocabulary specific to the GTA being tested (e.g. </w:t>
      </w:r>
      <w:proofErr w:type="spellStart"/>
      <w:r w:rsidRPr="00907E41">
        <w:rPr>
          <w:rFonts w:ascii="Open Sans" w:hAnsi="Open Sans" w:cs="Open Sans"/>
          <w:i/>
          <w:iCs/>
          <w:sz w:val="22"/>
          <w:szCs w:val="22"/>
        </w:rPr>
        <w:t>tâches</w:t>
      </w:r>
      <w:proofErr w:type="spellEnd"/>
      <w:r w:rsidRPr="00907E41">
        <w:rPr>
          <w:rFonts w:ascii="Open Sans" w:hAnsi="Open Sans" w:cs="Open Sans"/>
          <w:i/>
          <w:iCs/>
          <w:sz w:val="22"/>
          <w:szCs w:val="22"/>
        </w:rPr>
        <w:t xml:space="preserve">, travail, les études, </w:t>
      </w:r>
      <w:proofErr w:type="spellStart"/>
      <w:r w:rsidRPr="00907E41">
        <w:rPr>
          <w:rFonts w:ascii="Open Sans" w:hAnsi="Open Sans" w:cs="Open Sans"/>
          <w:i/>
          <w:iCs/>
          <w:sz w:val="22"/>
          <w:szCs w:val="22"/>
        </w:rPr>
        <w:t>l’avenir</w:t>
      </w:r>
      <w:proofErr w:type="spellEnd"/>
      <w:r w:rsidRPr="00907E41">
        <w:rPr>
          <w:rFonts w:ascii="Open Sans" w:hAnsi="Open Sans" w:cs="Open Sans"/>
          <w:sz w:val="22"/>
          <w:szCs w:val="22"/>
        </w:rPr>
        <w:t>) and she can use phrases to express her opinion and to give reasons (</w:t>
      </w:r>
      <w:r w:rsidRPr="00907E41">
        <w:rPr>
          <w:rFonts w:ascii="Open Sans" w:hAnsi="Open Sans" w:cs="Open Sans"/>
          <w:i/>
          <w:iCs/>
          <w:sz w:val="22"/>
          <w:szCs w:val="22"/>
        </w:rPr>
        <w:t xml:space="preserve">je </w:t>
      </w:r>
      <w:proofErr w:type="spellStart"/>
      <w:r w:rsidRPr="00907E41">
        <w:rPr>
          <w:rFonts w:ascii="Open Sans" w:hAnsi="Open Sans" w:cs="Open Sans"/>
          <w:i/>
          <w:iCs/>
          <w:sz w:val="22"/>
          <w:szCs w:val="22"/>
        </w:rPr>
        <w:t>pense</w:t>
      </w:r>
      <w:proofErr w:type="spellEnd"/>
      <w:r w:rsidRPr="00907E41">
        <w:rPr>
          <w:rFonts w:ascii="Open Sans" w:hAnsi="Open Sans" w:cs="Open Sans"/>
          <w:i/>
          <w:iCs/>
          <w:sz w:val="22"/>
          <w:szCs w:val="22"/>
        </w:rPr>
        <w:t xml:space="preserve"> que… car</w:t>
      </w:r>
      <w:r w:rsidRPr="00907E41">
        <w:rPr>
          <w:rFonts w:ascii="Open Sans" w:hAnsi="Open Sans" w:cs="Open Sans"/>
          <w:sz w:val="22"/>
          <w:szCs w:val="22"/>
        </w:rPr>
        <w:t xml:space="preserve">) but she does not always have sufficient lexis to express what she wants to say. The candidate conveys little about her thoughts on </w:t>
      </w:r>
      <w:r w:rsidRPr="00907E41">
        <w:rPr>
          <w:rFonts w:ascii="Open Sans" w:hAnsi="Open Sans" w:cs="Open Sans"/>
          <w:i/>
          <w:iCs/>
          <w:sz w:val="22"/>
          <w:szCs w:val="22"/>
        </w:rPr>
        <w:t xml:space="preserve">le </w:t>
      </w:r>
      <w:proofErr w:type="spellStart"/>
      <w:r w:rsidRPr="00907E41">
        <w:rPr>
          <w:rFonts w:ascii="Open Sans" w:hAnsi="Open Sans" w:cs="Open Sans"/>
          <w:i/>
          <w:iCs/>
          <w:sz w:val="22"/>
          <w:szCs w:val="22"/>
        </w:rPr>
        <w:t>chômage</w:t>
      </w:r>
      <w:proofErr w:type="spellEnd"/>
      <w:r w:rsidRPr="00907E41">
        <w:rPr>
          <w:rFonts w:ascii="Open Sans" w:hAnsi="Open Sans" w:cs="Open Sans"/>
          <w:sz w:val="22"/>
          <w:szCs w:val="22"/>
        </w:rPr>
        <w:t xml:space="preserve">, for example, other than to say it is </w:t>
      </w:r>
      <w:r w:rsidRPr="00907E41">
        <w:rPr>
          <w:rFonts w:ascii="Open Sans" w:hAnsi="Open Sans" w:cs="Open Sans"/>
          <w:i/>
          <w:iCs/>
          <w:sz w:val="22"/>
          <w:szCs w:val="22"/>
        </w:rPr>
        <w:t xml:space="preserve">un grand </w:t>
      </w:r>
      <w:proofErr w:type="spellStart"/>
      <w:r w:rsidRPr="00907E41">
        <w:rPr>
          <w:rFonts w:ascii="Open Sans" w:hAnsi="Open Sans" w:cs="Open Sans"/>
          <w:i/>
          <w:iCs/>
          <w:sz w:val="22"/>
          <w:szCs w:val="22"/>
        </w:rPr>
        <w:t>problème</w:t>
      </w:r>
      <w:proofErr w:type="spellEnd"/>
      <w:r w:rsidRPr="00907E41">
        <w:rPr>
          <w:rFonts w:ascii="Open Sans" w:hAnsi="Open Sans" w:cs="Open Sans"/>
          <w:sz w:val="22"/>
          <w:szCs w:val="22"/>
        </w:rPr>
        <w:t xml:space="preserve">. On occasion, she uses a foreign word in place of French (e.g. </w:t>
      </w:r>
      <w:proofErr w:type="spellStart"/>
      <w:r w:rsidRPr="00907E41">
        <w:rPr>
          <w:rFonts w:ascii="Open Sans" w:hAnsi="Open Sans" w:cs="Open Sans"/>
          <w:i/>
          <w:iCs/>
          <w:sz w:val="22"/>
          <w:szCs w:val="22"/>
        </w:rPr>
        <w:t>capaz</w:t>
      </w:r>
      <w:proofErr w:type="spellEnd"/>
      <w:r w:rsidRPr="00907E41">
        <w:rPr>
          <w:rFonts w:ascii="Open Sans" w:hAnsi="Open Sans" w:cs="Open Sans"/>
          <w:i/>
          <w:iCs/>
          <w:sz w:val="22"/>
          <w:szCs w:val="22"/>
        </w:rPr>
        <w:t xml:space="preserve"> </w:t>
      </w:r>
      <w:r w:rsidRPr="00907E41">
        <w:rPr>
          <w:rFonts w:ascii="Open Sans" w:hAnsi="Open Sans" w:cs="Open Sans"/>
          <w:sz w:val="22"/>
          <w:szCs w:val="22"/>
        </w:rPr>
        <w:t xml:space="preserve">in place of </w:t>
      </w:r>
      <w:r w:rsidRPr="00907E41">
        <w:rPr>
          <w:rFonts w:ascii="Open Sans" w:hAnsi="Open Sans" w:cs="Open Sans"/>
          <w:i/>
          <w:iCs/>
          <w:sz w:val="22"/>
          <w:szCs w:val="22"/>
        </w:rPr>
        <w:t>capable</w:t>
      </w:r>
      <w:r w:rsidRPr="00907E41">
        <w:rPr>
          <w:rFonts w:ascii="Open Sans" w:hAnsi="Open Sans" w:cs="Open Sans"/>
          <w:sz w:val="22"/>
          <w:szCs w:val="22"/>
        </w:rPr>
        <w:t xml:space="preserve">). Her lexis is therefore </w:t>
      </w:r>
      <w:r w:rsidRPr="00907E41">
        <w:rPr>
          <w:rFonts w:ascii="Open Sans" w:hAnsi="Open Sans" w:cs="Open Sans"/>
          <w:i/>
          <w:iCs/>
          <w:sz w:val="22"/>
          <w:szCs w:val="22"/>
        </w:rPr>
        <w:t>restricted</w:t>
      </w:r>
      <w:r w:rsidRPr="00907E41">
        <w:rPr>
          <w:rFonts w:ascii="Open Sans" w:hAnsi="Open Sans" w:cs="Open Sans"/>
          <w:sz w:val="22"/>
          <w:szCs w:val="22"/>
        </w:rPr>
        <w:t xml:space="preserve">. Similarly, this candidate does not always have the range of structures she needs to express herself clearly, and she </w:t>
      </w:r>
      <w:r w:rsidRPr="00907E41">
        <w:rPr>
          <w:rFonts w:ascii="Open Sans" w:hAnsi="Open Sans" w:cs="Open Sans"/>
          <w:i/>
          <w:iCs/>
          <w:sz w:val="22"/>
          <w:szCs w:val="22"/>
        </w:rPr>
        <w:t>operates generally in simple sentences</w:t>
      </w:r>
      <w:r w:rsidRPr="00907E41">
        <w:rPr>
          <w:rFonts w:ascii="Open Sans" w:hAnsi="Open Sans" w:cs="Open Sans"/>
          <w:sz w:val="22"/>
          <w:szCs w:val="22"/>
        </w:rPr>
        <w:t xml:space="preserve">. For these reasons a mark of 2 is awarded for </w:t>
      </w:r>
      <w:r w:rsidRPr="00907E41">
        <w:rPr>
          <w:rFonts w:ascii="Open Sans" w:hAnsi="Open Sans" w:cs="Open Sans"/>
          <w:i/>
          <w:iCs/>
          <w:sz w:val="22"/>
          <w:szCs w:val="22"/>
        </w:rPr>
        <w:t>Quality of language (Range of lexis)</w:t>
      </w:r>
      <w:r w:rsidRPr="00907E41">
        <w:rPr>
          <w:rFonts w:ascii="Open Sans" w:hAnsi="Open Sans" w:cs="Open Sans"/>
          <w:sz w:val="22"/>
          <w:szCs w:val="22"/>
        </w:rPr>
        <w:t>.</w:t>
      </w:r>
    </w:p>
    <w:p w14:paraId="21B9348F" w14:textId="77777777" w:rsidR="00D932E0" w:rsidRPr="00907E41" w:rsidRDefault="00D932E0" w:rsidP="00907E41">
      <w:pPr>
        <w:pStyle w:val="Default"/>
        <w:spacing w:line="276" w:lineRule="auto"/>
        <w:ind w:left="-567"/>
        <w:jc w:val="both"/>
        <w:rPr>
          <w:rFonts w:ascii="Open Sans" w:hAnsi="Open Sans" w:cs="Open Sans"/>
          <w:sz w:val="22"/>
          <w:szCs w:val="22"/>
        </w:rPr>
      </w:pPr>
    </w:p>
    <w:p w14:paraId="6DE4E0B8"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Spontaneity and development </w:t>
      </w:r>
    </w:p>
    <w:p w14:paraId="5C95D470" w14:textId="5922036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Mark awarded – </w:t>
      </w:r>
      <w:proofErr w:type="gramStart"/>
      <w:r w:rsidRPr="00907E41">
        <w:rPr>
          <w:rFonts w:ascii="Open Sans" w:hAnsi="Open Sans" w:cs="Open Sans"/>
          <w:b/>
          <w:bCs/>
          <w:sz w:val="22"/>
          <w:szCs w:val="22"/>
        </w:rPr>
        <w:t>7/16</w:t>
      </w:r>
      <w:proofErr w:type="gramEnd"/>
      <w:r w:rsidRPr="00907E41">
        <w:rPr>
          <w:rFonts w:ascii="Open Sans" w:hAnsi="Open Sans" w:cs="Open Sans"/>
          <w:b/>
          <w:bCs/>
          <w:sz w:val="22"/>
          <w:szCs w:val="22"/>
        </w:rPr>
        <w:t xml:space="preserve"> </w:t>
      </w:r>
    </w:p>
    <w:p w14:paraId="7B03B92E"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i/>
          <w:iCs/>
          <w:sz w:val="22"/>
          <w:szCs w:val="22"/>
        </w:rPr>
        <w:t>This mark is awarded for the candidate’s performance across both sections of the test, A and B.</w:t>
      </w:r>
    </w:p>
    <w:p w14:paraId="58E425FA" w14:textId="77777777" w:rsidR="00D932E0" w:rsidRPr="00907E41" w:rsidRDefault="00D932E0" w:rsidP="00907E41">
      <w:pPr>
        <w:pStyle w:val="Default"/>
        <w:spacing w:line="276" w:lineRule="auto"/>
        <w:ind w:left="-567"/>
        <w:jc w:val="both"/>
        <w:rPr>
          <w:rFonts w:ascii="Open Sans" w:hAnsi="Open Sans" w:cs="Open Sans"/>
          <w:i/>
          <w:iCs/>
          <w:sz w:val="22"/>
          <w:szCs w:val="22"/>
        </w:rPr>
      </w:pPr>
    </w:p>
    <w:p w14:paraId="4391C2DC"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 xml:space="preserve">This candidate’s performance fits in the 5-8 band of the marks available for </w:t>
      </w:r>
      <w:r w:rsidRPr="00907E41">
        <w:rPr>
          <w:rFonts w:ascii="Open Sans" w:hAnsi="Open Sans" w:cs="Open Sans"/>
          <w:i/>
          <w:iCs/>
          <w:sz w:val="22"/>
          <w:szCs w:val="22"/>
        </w:rPr>
        <w:t>Spontaneity and development</w:t>
      </w:r>
      <w:r w:rsidRPr="00907E41">
        <w:rPr>
          <w:rFonts w:ascii="Open Sans" w:hAnsi="Open Sans" w:cs="Open Sans"/>
          <w:sz w:val="22"/>
          <w:szCs w:val="22"/>
        </w:rPr>
        <w:t xml:space="preserve">. The impression of this performance is one of a natural conversation, with the candidate asking for a question to be repeated when this is necessary. Apart from the couple of occasions when she cannot answer the question, the candidate tries very hard to develop her answers and to give extended responses. However, this is not always successful; on occasion she cannot finish her sentences and so the development of her answers must </w:t>
      </w:r>
      <w:proofErr w:type="gramStart"/>
      <w:r w:rsidRPr="00907E41">
        <w:rPr>
          <w:rFonts w:ascii="Open Sans" w:hAnsi="Open Sans" w:cs="Open Sans"/>
          <w:sz w:val="22"/>
          <w:szCs w:val="22"/>
        </w:rPr>
        <w:t>be considered to be</w:t>
      </w:r>
      <w:proofErr w:type="gramEnd"/>
      <w:r w:rsidRPr="00907E41">
        <w:rPr>
          <w:rFonts w:ascii="Open Sans" w:hAnsi="Open Sans" w:cs="Open Sans"/>
          <w:sz w:val="22"/>
          <w:szCs w:val="22"/>
        </w:rPr>
        <w:t xml:space="preserve"> </w:t>
      </w:r>
      <w:r w:rsidRPr="00907E41">
        <w:rPr>
          <w:rFonts w:ascii="Open Sans" w:hAnsi="Open Sans" w:cs="Open Sans"/>
          <w:i/>
          <w:iCs/>
          <w:sz w:val="22"/>
          <w:szCs w:val="22"/>
        </w:rPr>
        <w:t>limited</w:t>
      </w:r>
      <w:r w:rsidRPr="00907E41">
        <w:rPr>
          <w:rFonts w:ascii="Open Sans" w:hAnsi="Open Sans" w:cs="Open Sans"/>
          <w:sz w:val="22"/>
          <w:szCs w:val="22"/>
        </w:rPr>
        <w:t>. There is a good deal of hesitation, not always only in complex areas and she has difficulty with some questions. There are many examples, however, of spontaneity and so while the 5-8 band is the best fit for this performance, a mark in the top half of the band is justified and the candidate is awarded 7.</w:t>
      </w:r>
    </w:p>
    <w:p w14:paraId="49ED3FFF" w14:textId="77777777" w:rsidR="00D932E0" w:rsidRPr="00907E41" w:rsidRDefault="00D932E0" w:rsidP="00907E41">
      <w:pPr>
        <w:pStyle w:val="Default"/>
        <w:spacing w:line="276" w:lineRule="auto"/>
        <w:ind w:left="-567"/>
        <w:jc w:val="both"/>
        <w:rPr>
          <w:rFonts w:ascii="Open Sans" w:hAnsi="Open Sans" w:cs="Open Sans"/>
          <w:sz w:val="22"/>
          <w:szCs w:val="22"/>
        </w:rPr>
      </w:pPr>
    </w:p>
    <w:p w14:paraId="46620F25" w14:textId="77777777" w:rsidR="00D932E0" w:rsidRPr="00907E41" w:rsidRDefault="00D932E0" w:rsidP="00907E41">
      <w:pPr>
        <w:pStyle w:val="Default"/>
        <w:spacing w:line="276" w:lineRule="auto"/>
        <w:jc w:val="both"/>
        <w:rPr>
          <w:rFonts w:ascii="Open Sans" w:hAnsi="Open Sans" w:cs="Open Sans"/>
          <w:b/>
          <w:bCs/>
          <w:sz w:val="22"/>
          <w:szCs w:val="22"/>
        </w:rPr>
      </w:pPr>
    </w:p>
    <w:p w14:paraId="3AEBDE93"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Understanding (Stimulus specific) </w:t>
      </w:r>
    </w:p>
    <w:p w14:paraId="2C814439" w14:textId="08E96744"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Mark awarded – </w:t>
      </w:r>
      <w:proofErr w:type="gramStart"/>
      <w:r w:rsidRPr="00907E41">
        <w:rPr>
          <w:rFonts w:ascii="Open Sans" w:hAnsi="Open Sans" w:cs="Open Sans"/>
          <w:b/>
          <w:bCs/>
          <w:sz w:val="22"/>
          <w:szCs w:val="22"/>
        </w:rPr>
        <w:t>2/4</w:t>
      </w:r>
      <w:proofErr w:type="gramEnd"/>
    </w:p>
    <w:p w14:paraId="76230609"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i/>
          <w:iCs/>
          <w:sz w:val="22"/>
          <w:szCs w:val="22"/>
        </w:rPr>
        <w:t>This mark is awarded purely for the candidate’s response to the four questions set by Pearson Edexcel in Section A of the test.</w:t>
      </w:r>
    </w:p>
    <w:p w14:paraId="38AB847A" w14:textId="77777777" w:rsidR="00D932E0" w:rsidRPr="00907E41" w:rsidRDefault="00D932E0" w:rsidP="00907E41">
      <w:pPr>
        <w:pStyle w:val="Default"/>
        <w:spacing w:line="276" w:lineRule="auto"/>
        <w:ind w:left="-567"/>
        <w:jc w:val="both"/>
        <w:rPr>
          <w:rFonts w:ascii="Open Sans" w:hAnsi="Open Sans" w:cs="Open Sans"/>
          <w:sz w:val="22"/>
          <w:szCs w:val="22"/>
        </w:rPr>
      </w:pPr>
    </w:p>
    <w:p w14:paraId="270603E1" w14:textId="77777777" w:rsidR="00D932E0" w:rsidRPr="00907E41" w:rsidRDefault="00D932E0" w:rsidP="00907E41">
      <w:pPr>
        <w:pStyle w:val="Default"/>
        <w:spacing w:line="276" w:lineRule="auto"/>
        <w:ind w:left="-567"/>
        <w:jc w:val="both"/>
        <w:rPr>
          <w:rFonts w:ascii="Open Sans" w:hAnsi="Open Sans" w:cs="Open Sans"/>
          <w:sz w:val="22"/>
          <w:szCs w:val="22"/>
        </w:rPr>
      </w:pPr>
      <w:r w:rsidRPr="00907E41">
        <w:rPr>
          <w:rFonts w:ascii="Open Sans" w:hAnsi="Open Sans" w:cs="Open Sans"/>
          <w:sz w:val="22"/>
          <w:szCs w:val="22"/>
        </w:rPr>
        <w:t xml:space="preserve">The candidate </w:t>
      </w:r>
      <w:proofErr w:type="gramStart"/>
      <w:r w:rsidRPr="00907E41">
        <w:rPr>
          <w:rFonts w:ascii="Open Sans" w:hAnsi="Open Sans" w:cs="Open Sans"/>
          <w:sz w:val="22"/>
          <w:szCs w:val="22"/>
        </w:rPr>
        <w:t>is able to</w:t>
      </w:r>
      <w:proofErr w:type="gramEnd"/>
      <w:r w:rsidRPr="00907E41">
        <w:rPr>
          <w:rFonts w:ascii="Open Sans" w:hAnsi="Open Sans" w:cs="Open Sans"/>
          <w:sz w:val="22"/>
          <w:szCs w:val="22"/>
        </w:rPr>
        <w:t xml:space="preserve"> select relevant material from the text in order to answer questions 1 and 2. Her answers to these two questions reflect understanding of the text, but she struggles to organise the facts she has read to formulate a clear answer. The content of her answers is muddled and a listener who had not read the stimulus text might struggle to understand immediately what she was saying. The candidate’s answers to questions 3 and 4 contain some relevant content. In all, the responses in Section A can </w:t>
      </w:r>
      <w:proofErr w:type="gramStart"/>
      <w:r w:rsidRPr="00907E41">
        <w:rPr>
          <w:rFonts w:ascii="Open Sans" w:hAnsi="Open Sans" w:cs="Open Sans"/>
          <w:sz w:val="22"/>
          <w:szCs w:val="22"/>
        </w:rPr>
        <w:t>be considered to be</w:t>
      </w:r>
      <w:proofErr w:type="gramEnd"/>
      <w:r w:rsidRPr="00907E41">
        <w:rPr>
          <w:rFonts w:ascii="Open Sans" w:hAnsi="Open Sans" w:cs="Open Sans"/>
          <w:sz w:val="22"/>
          <w:szCs w:val="22"/>
        </w:rPr>
        <w:t xml:space="preserve"> </w:t>
      </w:r>
      <w:r w:rsidRPr="00907E41">
        <w:rPr>
          <w:rFonts w:ascii="Open Sans" w:hAnsi="Open Sans" w:cs="Open Sans"/>
          <w:i/>
          <w:iCs/>
          <w:sz w:val="22"/>
          <w:szCs w:val="22"/>
        </w:rPr>
        <w:t>satisfactory</w:t>
      </w:r>
      <w:r w:rsidRPr="00907E41">
        <w:rPr>
          <w:rFonts w:ascii="Open Sans" w:hAnsi="Open Sans" w:cs="Open Sans"/>
          <w:sz w:val="22"/>
          <w:szCs w:val="22"/>
        </w:rPr>
        <w:t>, therefore a mark of 2 is awarded.</w:t>
      </w:r>
    </w:p>
    <w:p w14:paraId="2CCF9420" w14:textId="77777777" w:rsidR="00D932E0" w:rsidRPr="00907E41" w:rsidRDefault="00D932E0" w:rsidP="00907E41">
      <w:pPr>
        <w:pStyle w:val="Default"/>
        <w:spacing w:line="276" w:lineRule="auto"/>
        <w:ind w:left="-567"/>
        <w:jc w:val="both"/>
        <w:rPr>
          <w:rFonts w:ascii="Open Sans" w:hAnsi="Open Sans" w:cs="Open Sans"/>
          <w:sz w:val="22"/>
          <w:szCs w:val="22"/>
        </w:rPr>
      </w:pPr>
    </w:p>
    <w:p w14:paraId="32724ABF" w14:textId="7777777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Knowledge and Understanding (General topic area) </w:t>
      </w:r>
    </w:p>
    <w:p w14:paraId="4F899F23" w14:textId="7D2B5997" w:rsidR="00D932E0" w:rsidRPr="00907E41" w:rsidRDefault="00D932E0" w:rsidP="00907E41">
      <w:pPr>
        <w:pStyle w:val="Default"/>
        <w:spacing w:line="276" w:lineRule="auto"/>
        <w:ind w:left="-567"/>
        <w:jc w:val="both"/>
        <w:rPr>
          <w:rFonts w:ascii="Open Sans" w:hAnsi="Open Sans" w:cs="Open Sans"/>
          <w:b/>
          <w:bCs/>
          <w:sz w:val="22"/>
          <w:szCs w:val="22"/>
        </w:rPr>
      </w:pPr>
      <w:r w:rsidRPr="00907E41">
        <w:rPr>
          <w:rFonts w:ascii="Open Sans" w:hAnsi="Open Sans" w:cs="Open Sans"/>
          <w:b/>
          <w:bCs/>
          <w:sz w:val="22"/>
          <w:szCs w:val="22"/>
        </w:rPr>
        <w:t xml:space="preserve">Mark awarded – </w:t>
      </w:r>
      <w:proofErr w:type="gramStart"/>
      <w:r w:rsidRPr="00907E41">
        <w:rPr>
          <w:rFonts w:ascii="Open Sans" w:hAnsi="Open Sans" w:cs="Open Sans"/>
          <w:b/>
          <w:bCs/>
          <w:sz w:val="22"/>
          <w:szCs w:val="22"/>
        </w:rPr>
        <w:t>4/10</w:t>
      </w:r>
      <w:proofErr w:type="gramEnd"/>
      <w:r w:rsidRPr="00907E41">
        <w:rPr>
          <w:rFonts w:ascii="Open Sans" w:hAnsi="Open Sans" w:cs="Open Sans"/>
          <w:b/>
          <w:bCs/>
          <w:sz w:val="22"/>
          <w:szCs w:val="22"/>
        </w:rPr>
        <w:t xml:space="preserve"> </w:t>
      </w:r>
    </w:p>
    <w:p w14:paraId="6DAACFCA" w14:textId="77777777" w:rsidR="00D932E0" w:rsidRPr="00907E41" w:rsidRDefault="00D932E0" w:rsidP="00907E41">
      <w:pPr>
        <w:pStyle w:val="Default"/>
        <w:spacing w:line="276" w:lineRule="auto"/>
        <w:ind w:left="-567"/>
        <w:jc w:val="both"/>
        <w:rPr>
          <w:rFonts w:ascii="Open Sans" w:hAnsi="Open Sans" w:cs="Open Sans"/>
          <w:i/>
          <w:iCs/>
          <w:sz w:val="22"/>
          <w:szCs w:val="22"/>
        </w:rPr>
      </w:pPr>
      <w:r w:rsidRPr="00907E41">
        <w:rPr>
          <w:rFonts w:ascii="Open Sans" w:hAnsi="Open Sans" w:cs="Open Sans"/>
          <w:i/>
          <w:iCs/>
          <w:sz w:val="22"/>
          <w:szCs w:val="22"/>
        </w:rPr>
        <w:t xml:space="preserve">This mark is awarded purely for the knowledge and understanding of the GTA demonstrated by the candidate in Section B of the test. </w:t>
      </w:r>
    </w:p>
    <w:p w14:paraId="4CF25C90" w14:textId="77777777" w:rsidR="00D932E0" w:rsidRPr="00907E41" w:rsidRDefault="00D932E0" w:rsidP="00907E41">
      <w:pPr>
        <w:spacing w:after="0" w:line="276" w:lineRule="auto"/>
        <w:ind w:left="-567"/>
        <w:jc w:val="both"/>
        <w:rPr>
          <w:rFonts w:ascii="Open Sans" w:hAnsi="Open Sans" w:cs="Open Sans"/>
          <w:color w:val="000000"/>
          <w:kern w:val="0"/>
          <w:sz w:val="22"/>
          <w:szCs w:val="22"/>
        </w:rPr>
      </w:pPr>
    </w:p>
    <w:p w14:paraId="08D5D49C" w14:textId="77777777" w:rsidR="00D932E0" w:rsidRPr="00907E41" w:rsidRDefault="00D932E0" w:rsidP="00907E41">
      <w:pPr>
        <w:spacing w:after="0" w:line="276" w:lineRule="auto"/>
        <w:ind w:left="-567"/>
        <w:jc w:val="both"/>
        <w:rPr>
          <w:rFonts w:ascii="Open Sans" w:hAnsi="Open Sans" w:cs="Open Sans"/>
          <w:color w:val="000000"/>
          <w:kern w:val="0"/>
          <w:sz w:val="22"/>
          <w:szCs w:val="22"/>
        </w:rPr>
      </w:pPr>
      <w:r w:rsidRPr="00907E41">
        <w:rPr>
          <w:rFonts w:ascii="Open Sans" w:hAnsi="Open Sans" w:cs="Open Sans"/>
          <w:color w:val="000000"/>
          <w:kern w:val="0"/>
          <w:sz w:val="22"/>
          <w:szCs w:val="22"/>
        </w:rPr>
        <w:t xml:space="preserve">The knowledge and understanding of the GTA demonstrated by the candidate in the discussion in Section B of this test is limited. In answer to some questions, the candidate communicates simple relevant information and opinions (for example she says that studying and working at the same time can be </w:t>
      </w:r>
      <w:proofErr w:type="gramStart"/>
      <w:r w:rsidRPr="00907E41">
        <w:rPr>
          <w:rFonts w:ascii="Open Sans" w:hAnsi="Open Sans" w:cs="Open Sans"/>
          <w:color w:val="000000"/>
          <w:kern w:val="0"/>
          <w:sz w:val="22"/>
          <w:szCs w:val="22"/>
        </w:rPr>
        <w:t>beneficial, and</w:t>
      </w:r>
      <w:proofErr w:type="gramEnd"/>
      <w:r w:rsidRPr="00907E41">
        <w:rPr>
          <w:rFonts w:ascii="Open Sans" w:hAnsi="Open Sans" w:cs="Open Sans"/>
          <w:color w:val="000000"/>
          <w:kern w:val="0"/>
          <w:sz w:val="22"/>
          <w:szCs w:val="22"/>
        </w:rPr>
        <w:t xml:space="preserve"> justifies this opinion before considering the other side of the argument: </w:t>
      </w:r>
      <w:r w:rsidRPr="00907E41">
        <w:rPr>
          <w:rFonts w:ascii="Open Sans" w:hAnsi="Open Sans" w:cs="Open Sans"/>
          <w:i/>
          <w:iCs/>
          <w:color w:val="000000"/>
          <w:kern w:val="0"/>
          <w:sz w:val="22"/>
          <w:szCs w:val="22"/>
        </w:rPr>
        <w:t xml:space="preserve">par </w:t>
      </w:r>
      <w:proofErr w:type="spellStart"/>
      <w:r w:rsidRPr="00907E41">
        <w:rPr>
          <w:rFonts w:ascii="Open Sans" w:hAnsi="Open Sans" w:cs="Open Sans"/>
          <w:i/>
          <w:iCs/>
          <w:color w:val="000000"/>
          <w:kern w:val="0"/>
          <w:sz w:val="22"/>
          <w:szCs w:val="22"/>
        </w:rPr>
        <w:t>contre</w:t>
      </w:r>
      <w:proofErr w:type="spellEnd"/>
      <w:r w:rsidRPr="00907E41">
        <w:rPr>
          <w:rFonts w:ascii="Open Sans" w:hAnsi="Open Sans" w:cs="Open Sans"/>
          <w:i/>
          <w:iCs/>
          <w:color w:val="000000"/>
          <w:kern w:val="0"/>
          <w:sz w:val="22"/>
          <w:szCs w:val="22"/>
        </w:rPr>
        <w:t xml:space="preserve"> </w:t>
      </w:r>
      <w:proofErr w:type="spellStart"/>
      <w:r w:rsidRPr="00907E41">
        <w:rPr>
          <w:rFonts w:ascii="Open Sans" w:hAnsi="Open Sans" w:cs="Open Sans"/>
          <w:i/>
          <w:iCs/>
          <w:color w:val="000000"/>
          <w:kern w:val="0"/>
          <w:sz w:val="22"/>
          <w:szCs w:val="22"/>
        </w:rPr>
        <w:t>ça</w:t>
      </w:r>
      <w:proofErr w:type="spellEnd"/>
      <w:r w:rsidRPr="00907E41">
        <w:rPr>
          <w:rFonts w:ascii="Open Sans" w:hAnsi="Open Sans" w:cs="Open Sans"/>
          <w:i/>
          <w:iCs/>
          <w:color w:val="000000"/>
          <w:kern w:val="0"/>
          <w:sz w:val="22"/>
          <w:szCs w:val="22"/>
        </w:rPr>
        <w:t xml:space="preserve"> </w:t>
      </w:r>
      <w:proofErr w:type="spellStart"/>
      <w:r w:rsidRPr="00907E41">
        <w:rPr>
          <w:rFonts w:ascii="Open Sans" w:hAnsi="Open Sans" w:cs="Open Sans"/>
          <w:i/>
          <w:iCs/>
          <w:color w:val="000000"/>
          <w:kern w:val="0"/>
          <w:sz w:val="22"/>
          <w:szCs w:val="22"/>
        </w:rPr>
        <w:t>peut</w:t>
      </w:r>
      <w:proofErr w:type="spellEnd"/>
      <w:r w:rsidRPr="00907E41">
        <w:rPr>
          <w:rFonts w:ascii="Open Sans" w:hAnsi="Open Sans" w:cs="Open Sans"/>
          <w:i/>
          <w:iCs/>
          <w:color w:val="000000"/>
          <w:kern w:val="0"/>
          <w:sz w:val="22"/>
          <w:szCs w:val="22"/>
        </w:rPr>
        <w:t xml:space="preserve"> </w:t>
      </w:r>
      <w:proofErr w:type="spellStart"/>
      <w:r w:rsidRPr="00907E41">
        <w:rPr>
          <w:rFonts w:ascii="Open Sans" w:hAnsi="Open Sans" w:cs="Open Sans"/>
          <w:i/>
          <w:iCs/>
          <w:color w:val="000000"/>
          <w:kern w:val="0"/>
          <w:sz w:val="22"/>
          <w:szCs w:val="22"/>
        </w:rPr>
        <w:t>être</w:t>
      </w:r>
      <w:proofErr w:type="spellEnd"/>
      <w:r w:rsidRPr="00907E41">
        <w:rPr>
          <w:rFonts w:ascii="Open Sans" w:hAnsi="Open Sans" w:cs="Open Sans"/>
          <w:i/>
          <w:iCs/>
          <w:color w:val="000000"/>
          <w:kern w:val="0"/>
          <w:sz w:val="22"/>
          <w:szCs w:val="22"/>
        </w:rPr>
        <w:t xml:space="preserve"> difficile…</w:t>
      </w:r>
      <w:r w:rsidRPr="00907E41">
        <w:rPr>
          <w:rFonts w:ascii="Open Sans" w:hAnsi="Open Sans" w:cs="Open Sans"/>
          <w:color w:val="000000"/>
          <w:kern w:val="0"/>
          <w:sz w:val="22"/>
          <w:szCs w:val="22"/>
        </w:rPr>
        <w:t xml:space="preserve">). She expresses simple opinions about the future </w:t>
      </w:r>
      <w:r w:rsidRPr="00907E41">
        <w:rPr>
          <w:rFonts w:ascii="Open Sans" w:hAnsi="Open Sans" w:cs="Open Sans"/>
          <w:color w:val="000000"/>
          <w:kern w:val="0"/>
          <w:sz w:val="22"/>
          <w:szCs w:val="22"/>
        </w:rPr>
        <w:lastRenderedPageBreak/>
        <w:t xml:space="preserve">of the world of work and equality at work. On occasion, for example when the teacher-examiner asks how young people can prepare for the world of work, or about the importance of </w:t>
      </w:r>
      <w:r w:rsidRPr="00907E41">
        <w:rPr>
          <w:rFonts w:ascii="Open Sans" w:hAnsi="Open Sans" w:cs="Open Sans"/>
          <w:i/>
          <w:iCs/>
          <w:color w:val="000000"/>
          <w:kern w:val="0"/>
          <w:sz w:val="22"/>
          <w:szCs w:val="22"/>
        </w:rPr>
        <w:t>les stages</w:t>
      </w:r>
      <w:r w:rsidRPr="00907E41">
        <w:rPr>
          <w:rFonts w:ascii="Open Sans" w:hAnsi="Open Sans" w:cs="Open Sans"/>
          <w:color w:val="000000"/>
          <w:kern w:val="0"/>
          <w:sz w:val="22"/>
          <w:szCs w:val="22"/>
        </w:rPr>
        <w:t xml:space="preserve">, the candidate struggles to find something to say, or cannot answer. This performance matches the descriptors of the 3-4 band for </w:t>
      </w:r>
      <w:r w:rsidRPr="00907E41">
        <w:rPr>
          <w:rFonts w:ascii="Open Sans" w:hAnsi="Open Sans" w:cs="Open Sans"/>
          <w:i/>
          <w:iCs/>
          <w:color w:val="000000"/>
          <w:kern w:val="0"/>
          <w:sz w:val="22"/>
          <w:szCs w:val="22"/>
        </w:rPr>
        <w:t>Knowledge and understanding (General topic area).</w:t>
      </w:r>
      <w:r w:rsidRPr="00907E41">
        <w:rPr>
          <w:rFonts w:ascii="Open Sans" w:hAnsi="Open Sans" w:cs="Open Sans"/>
          <w:color w:val="000000"/>
          <w:kern w:val="0"/>
          <w:sz w:val="22"/>
          <w:szCs w:val="22"/>
        </w:rPr>
        <w:t xml:space="preserve"> As it has more features of the 5-6 band than the 1-2 band, the mark awarded is 4.</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20F00654" w14:textId="77777777" w:rsidR="00907E41" w:rsidRDefault="00907E41" w:rsidP="00DF2267">
      <w:pPr>
        <w:ind w:left="-426" w:right="-1134"/>
        <w:rPr>
          <w:rFonts w:ascii="Verdana" w:hAnsi="Verdana"/>
          <w:sz w:val="16"/>
          <w:szCs w:val="16"/>
        </w:rPr>
      </w:pPr>
    </w:p>
    <w:p w14:paraId="405A2E97" w14:textId="77777777" w:rsidR="00907E41" w:rsidRDefault="00907E41" w:rsidP="00DF2267">
      <w:pPr>
        <w:ind w:left="-426" w:right="-1134"/>
        <w:rPr>
          <w:rFonts w:ascii="Verdana" w:hAnsi="Verdana"/>
          <w:sz w:val="16"/>
          <w:szCs w:val="16"/>
        </w:rPr>
      </w:pPr>
    </w:p>
    <w:p w14:paraId="2849CA12" w14:textId="77777777" w:rsidR="00907E41" w:rsidRDefault="00907E41" w:rsidP="00DF2267">
      <w:pPr>
        <w:ind w:left="-426" w:right="-1134"/>
        <w:rPr>
          <w:rFonts w:ascii="Verdana" w:hAnsi="Verdana"/>
          <w:sz w:val="16"/>
          <w:szCs w:val="16"/>
        </w:rPr>
      </w:pPr>
    </w:p>
    <w:p w14:paraId="0D6795C5" w14:textId="77777777" w:rsidR="00907E41" w:rsidRDefault="00907E41" w:rsidP="00DF2267">
      <w:pPr>
        <w:ind w:left="-426" w:right="-1134"/>
        <w:rPr>
          <w:rFonts w:ascii="Verdana" w:hAnsi="Verdana"/>
          <w:sz w:val="16"/>
          <w:szCs w:val="16"/>
        </w:rPr>
      </w:pPr>
    </w:p>
    <w:p w14:paraId="6BA861B4" w14:textId="77777777" w:rsidR="00907E41" w:rsidRDefault="00907E41" w:rsidP="00DF2267">
      <w:pPr>
        <w:ind w:left="-426" w:right="-1134"/>
        <w:rPr>
          <w:rFonts w:ascii="Verdana" w:hAnsi="Verdana"/>
          <w:sz w:val="16"/>
          <w:szCs w:val="16"/>
        </w:rPr>
      </w:pPr>
    </w:p>
    <w:p w14:paraId="1C42649F" w14:textId="77777777" w:rsidR="00907E41" w:rsidRDefault="00907E41" w:rsidP="00DF2267">
      <w:pPr>
        <w:ind w:left="-426" w:right="-1134"/>
        <w:rPr>
          <w:rFonts w:ascii="Verdana" w:hAnsi="Verdana"/>
          <w:sz w:val="16"/>
          <w:szCs w:val="16"/>
        </w:rPr>
      </w:pPr>
    </w:p>
    <w:p w14:paraId="36F9FB10" w14:textId="77777777" w:rsidR="00907E41" w:rsidRDefault="00907E41" w:rsidP="00DF2267">
      <w:pPr>
        <w:ind w:left="-426" w:right="-1134"/>
        <w:rPr>
          <w:rFonts w:ascii="Verdana" w:hAnsi="Verdana"/>
          <w:sz w:val="16"/>
          <w:szCs w:val="16"/>
        </w:rPr>
      </w:pPr>
    </w:p>
    <w:p w14:paraId="2C8B5D49" w14:textId="77777777" w:rsidR="00907E41" w:rsidRDefault="00907E41" w:rsidP="00DF2267">
      <w:pPr>
        <w:ind w:left="-426" w:right="-1134"/>
        <w:rPr>
          <w:rFonts w:ascii="Verdana" w:hAnsi="Verdana"/>
          <w:sz w:val="16"/>
          <w:szCs w:val="16"/>
        </w:rPr>
      </w:pPr>
    </w:p>
    <w:p w14:paraId="3AB62342" w14:textId="77777777" w:rsidR="00907E41" w:rsidRDefault="00907E41" w:rsidP="00DF2267">
      <w:pPr>
        <w:ind w:left="-426" w:right="-1134"/>
        <w:rPr>
          <w:rFonts w:ascii="Verdana" w:hAnsi="Verdana"/>
          <w:sz w:val="16"/>
          <w:szCs w:val="16"/>
        </w:rPr>
      </w:pPr>
    </w:p>
    <w:p w14:paraId="00160A72" w14:textId="77777777" w:rsidR="00907E41" w:rsidRDefault="00907E41" w:rsidP="00DF2267">
      <w:pPr>
        <w:ind w:left="-426" w:right="-1134"/>
        <w:rPr>
          <w:rFonts w:ascii="Verdana" w:hAnsi="Verdana"/>
          <w:sz w:val="16"/>
          <w:szCs w:val="16"/>
        </w:rPr>
      </w:pPr>
    </w:p>
    <w:p w14:paraId="2F65E739" w14:textId="77777777" w:rsidR="00907E41" w:rsidRDefault="00907E41" w:rsidP="00DF2267">
      <w:pPr>
        <w:ind w:left="-426" w:right="-1134"/>
        <w:rPr>
          <w:rFonts w:ascii="Verdana" w:hAnsi="Verdana"/>
          <w:sz w:val="16"/>
          <w:szCs w:val="16"/>
        </w:rPr>
      </w:pPr>
    </w:p>
    <w:p w14:paraId="6A57FF03" w14:textId="77777777" w:rsidR="00907E41" w:rsidRDefault="00907E41" w:rsidP="00DF2267">
      <w:pPr>
        <w:ind w:left="-426" w:right="-1134"/>
        <w:rPr>
          <w:rFonts w:ascii="Verdana" w:hAnsi="Verdana"/>
          <w:sz w:val="16"/>
          <w:szCs w:val="16"/>
        </w:rPr>
      </w:pPr>
    </w:p>
    <w:p w14:paraId="22E329E4" w14:textId="77777777" w:rsidR="00907E41" w:rsidRDefault="00907E41" w:rsidP="00DF2267">
      <w:pPr>
        <w:ind w:left="-426" w:right="-1134"/>
        <w:rPr>
          <w:rFonts w:ascii="Verdana" w:hAnsi="Verdana"/>
          <w:sz w:val="16"/>
          <w:szCs w:val="16"/>
        </w:rPr>
      </w:pPr>
    </w:p>
    <w:p w14:paraId="20FE15A6" w14:textId="77777777" w:rsidR="00907E41" w:rsidRDefault="00907E41" w:rsidP="00DF2267">
      <w:pPr>
        <w:ind w:left="-426" w:right="-1134"/>
        <w:rPr>
          <w:rFonts w:ascii="Verdana" w:hAnsi="Verdana"/>
          <w:sz w:val="16"/>
          <w:szCs w:val="16"/>
        </w:rPr>
      </w:pPr>
    </w:p>
    <w:p w14:paraId="34C22166" w14:textId="77777777" w:rsidR="00907E41" w:rsidRDefault="00907E41" w:rsidP="00DF2267">
      <w:pPr>
        <w:ind w:left="-426" w:right="-1134"/>
        <w:rPr>
          <w:rFonts w:ascii="Verdana" w:hAnsi="Verdana"/>
          <w:sz w:val="16"/>
          <w:szCs w:val="16"/>
        </w:rPr>
      </w:pPr>
    </w:p>
    <w:p w14:paraId="7AE6D7C8" w14:textId="77777777" w:rsidR="00907E41" w:rsidRDefault="00907E41" w:rsidP="00DF2267">
      <w:pPr>
        <w:ind w:left="-426" w:right="-1134"/>
        <w:rPr>
          <w:rFonts w:ascii="Verdana" w:hAnsi="Verdana"/>
          <w:sz w:val="16"/>
          <w:szCs w:val="16"/>
        </w:rPr>
      </w:pPr>
    </w:p>
    <w:p w14:paraId="2C6ED4E2" w14:textId="77777777" w:rsidR="00907E41" w:rsidRDefault="00907E41" w:rsidP="00DF2267">
      <w:pPr>
        <w:ind w:left="-426" w:right="-1134"/>
        <w:rPr>
          <w:rFonts w:ascii="Verdana" w:hAnsi="Verdana"/>
          <w:sz w:val="16"/>
          <w:szCs w:val="16"/>
        </w:rPr>
      </w:pPr>
    </w:p>
    <w:p w14:paraId="47893003" w14:textId="77777777" w:rsidR="00907E41" w:rsidRDefault="00907E41" w:rsidP="00DF2267">
      <w:pPr>
        <w:ind w:left="-426" w:right="-1134"/>
        <w:rPr>
          <w:rFonts w:ascii="Verdana" w:hAnsi="Verdana"/>
          <w:sz w:val="16"/>
          <w:szCs w:val="16"/>
        </w:rPr>
      </w:pPr>
    </w:p>
    <w:p w14:paraId="2D70913E" w14:textId="77777777" w:rsidR="00907E41" w:rsidRDefault="00907E41" w:rsidP="00DF2267">
      <w:pPr>
        <w:ind w:left="-426" w:right="-1134"/>
        <w:rPr>
          <w:rFonts w:ascii="Verdana" w:hAnsi="Verdana"/>
          <w:sz w:val="16"/>
          <w:szCs w:val="16"/>
        </w:rPr>
      </w:pPr>
    </w:p>
    <w:p w14:paraId="32CA3003" w14:textId="77777777" w:rsidR="00907E41" w:rsidRDefault="00907E41" w:rsidP="00DF2267">
      <w:pPr>
        <w:ind w:left="-426" w:right="-1134"/>
        <w:rPr>
          <w:rFonts w:ascii="Verdana" w:hAnsi="Verdana"/>
          <w:sz w:val="16"/>
          <w:szCs w:val="16"/>
        </w:rPr>
      </w:pPr>
    </w:p>
    <w:p w14:paraId="5A5537FB" w14:textId="77777777" w:rsidR="00907E41" w:rsidRDefault="00907E41" w:rsidP="00DF2267">
      <w:pPr>
        <w:ind w:left="-426" w:right="-1134"/>
        <w:rPr>
          <w:rFonts w:ascii="Verdana" w:hAnsi="Verdana"/>
          <w:sz w:val="16"/>
          <w:szCs w:val="16"/>
        </w:rPr>
      </w:pPr>
    </w:p>
    <w:p w14:paraId="5DC8F139" w14:textId="77777777" w:rsidR="00907E41" w:rsidRDefault="00907E41" w:rsidP="00DF2267">
      <w:pPr>
        <w:ind w:left="-426" w:right="-1134"/>
        <w:rPr>
          <w:rFonts w:ascii="Verdana" w:hAnsi="Verdana"/>
          <w:sz w:val="16"/>
          <w:szCs w:val="16"/>
        </w:rPr>
      </w:pPr>
    </w:p>
    <w:p w14:paraId="6DE0F1F4" w14:textId="77777777" w:rsidR="00907E41" w:rsidRDefault="00907E41" w:rsidP="00DF2267">
      <w:pPr>
        <w:ind w:left="-426" w:right="-1134"/>
        <w:rPr>
          <w:rFonts w:ascii="Verdana" w:hAnsi="Verdana"/>
          <w:sz w:val="16"/>
          <w:szCs w:val="16"/>
        </w:rPr>
      </w:pPr>
    </w:p>
    <w:p w14:paraId="7EC53CFE" w14:textId="77777777" w:rsidR="00907E41" w:rsidRDefault="00907E41" w:rsidP="00DF2267">
      <w:pPr>
        <w:ind w:left="-426" w:right="-1134"/>
        <w:rPr>
          <w:rFonts w:ascii="Verdana" w:hAnsi="Verdana"/>
          <w:sz w:val="16"/>
          <w:szCs w:val="16"/>
        </w:rPr>
      </w:pPr>
    </w:p>
    <w:p w14:paraId="79767A09" w14:textId="77777777" w:rsidR="00907E41" w:rsidRDefault="00907E41" w:rsidP="00DF2267">
      <w:pPr>
        <w:ind w:left="-426" w:right="-1134"/>
        <w:rPr>
          <w:rFonts w:ascii="Verdana" w:hAnsi="Verdana"/>
          <w:sz w:val="16"/>
          <w:szCs w:val="16"/>
        </w:rPr>
      </w:pPr>
    </w:p>
    <w:p w14:paraId="6A922A7F" w14:textId="77777777" w:rsidR="00907E41" w:rsidRDefault="00907E41" w:rsidP="00DF2267">
      <w:pPr>
        <w:ind w:left="-426" w:right="-1134"/>
        <w:rPr>
          <w:rFonts w:ascii="Verdana" w:hAnsi="Verdana"/>
          <w:sz w:val="16"/>
          <w:szCs w:val="16"/>
        </w:rPr>
      </w:pPr>
    </w:p>
    <w:p w14:paraId="2252E18C" w14:textId="77777777" w:rsidR="00907E41" w:rsidRDefault="00907E41" w:rsidP="00DF2267">
      <w:pPr>
        <w:ind w:left="-426" w:right="-1134"/>
        <w:rPr>
          <w:rFonts w:ascii="Verdana" w:hAnsi="Verdana"/>
          <w:sz w:val="16"/>
          <w:szCs w:val="16"/>
        </w:rPr>
      </w:pPr>
    </w:p>
    <w:p w14:paraId="7B6A509B" w14:textId="77777777" w:rsidR="00907E41" w:rsidRDefault="00907E41" w:rsidP="00DF2267">
      <w:pPr>
        <w:ind w:left="-426" w:right="-1134"/>
        <w:rPr>
          <w:rFonts w:ascii="Verdana" w:hAnsi="Verdana"/>
          <w:sz w:val="16"/>
          <w:szCs w:val="16"/>
        </w:rPr>
      </w:pPr>
    </w:p>
    <w:p w14:paraId="697D0BC8" w14:textId="77777777" w:rsidR="00907E41" w:rsidRDefault="00907E41" w:rsidP="00DF2267">
      <w:pPr>
        <w:ind w:left="-426" w:right="-1134"/>
        <w:rPr>
          <w:rFonts w:ascii="Verdana" w:hAnsi="Verdana"/>
          <w:sz w:val="16"/>
          <w:szCs w:val="16"/>
        </w:rPr>
      </w:pPr>
    </w:p>
    <w:p w14:paraId="3387A8DD" w14:textId="77777777" w:rsidR="00907E41" w:rsidRDefault="00907E41" w:rsidP="00DF2267">
      <w:pPr>
        <w:ind w:left="-426" w:right="-1134"/>
        <w:rPr>
          <w:rFonts w:ascii="Verdana" w:hAnsi="Verdana"/>
          <w:sz w:val="16"/>
          <w:szCs w:val="16"/>
        </w:rPr>
      </w:pPr>
    </w:p>
    <w:p w14:paraId="1546EFE1" w14:textId="7D39F562" w:rsidR="00B30025" w:rsidRPr="00907E41" w:rsidRDefault="00DF2267" w:rsidP="00DF2267">
      <w:pPr>
        <w:ind w:left="-426" w:right="-1134"/>
        <w:rPr>
          <w:rFonts w:ascii="Open Sans" w:hAnsi="Open Sans" w:cs="Open Sans"/>
          <w:noProof/>
          <w:sz w:val="16"/>
          <w:szCs w:val="16"/>
        </w:rPr>
      </w:pPr>
      <w:r w:rsidRPr="00907E41">
        <w:rPr>
          <w:rFonts w:ascii="Open Sans" w:hAnsi="Open Sans" w:cs="Open Sans"/>
          <w:sz w:val="16"/>
          <w:szCs w:val="16"/>
        </w:rPr>
        <w:t xml:space="preserve">Pearson Education Limited. Registered company number 872828 </w:t>
      </w:r>
      <w:r w:rsidRPr="00907E41">
        <w:rPr>
          <w:rFonts w:ascii="Open Sans" w:hAnsi="Open Sans" w:cs="Open Sans"/>
          <w:sz w:val="16"/>
          <w:szCs w:val="16"/>
        </w:rPr>
        <w:br/>
        <w:t>with its registered office at 80 Strand, London, WC2R 0RL, United Kingdom</w:t>
      </w:r>
    </w:p>
    <w:sectPr w:rsidR="00B30025" w:rsidRPr="00907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07E41"/>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E61B4A"/>
    <w:rsid w:val="00F14BCF"/>
    <w:rsid w:val="00F66894"/>
    <w:rsid w:val="00F73C42"/>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cp:revision>
  <cp:lastPrinted>2024-08-08T08:58:00Z</cp:lastPrinted>
  <dcterms:created xsi:type="dcterms:W3CDTF">2024-08-30T13:12:00Z</dcterms:created>
  <dcterms:modified xsi:type="dcterms:W3CDTF">2024-11-19T13:35:00Z</dcterms:modified>
</cp:coreProperties>
</file>