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22807" w14:textId="77777777" w:rsidR="00986279" w:rsidRPr="00671700" w:rsidRDefault="000B08A9" w:rsidP="00986279">
      <w:pPr>
        <w:pStyle w:val="Front0"/>
        <w:spacing w:before="240"/>
      </w:pPr>
      <w:r>
        <w:t>Option 33</w:t>
      </w:r>
      <w:r w:rsidR="00986279">
        <w:t xml:space="preserve"> scheme of work</w:t>
      </w:r>
    </w:p>
    <w:p w14:paraId="5EE681A3" w14:textId="77777777" w:rsidR="00986279" w:rsidRPr="00486F63" w:rsidRDefault="00986279" w:rsidP="00B8242C">
      <w:pPr>
        <w:pStyle w:val="Front1"/>
        <w:tabs>
          <w:tab w:val="right" w:pos="14175"/>
        </w:tabs>
        <w:spacing w:before="6000"/>
      </w:pPr>
      <w:r>
        <w:t>The USA, 1954–75: conflict at home and abroad</w:t>
      </w:r>
      <w:r>
        <w:br/>
      </w:r>
      <w:r w:rsidRPr="00D61977">
        <w:rPr>
          <w:sz w:val="28"/>
          <w:szCs w:val="28"/>
        </w:rPr>
        <w:t>GCSE (9-1) History</w:t>
      </w:r>
      <w:r w:rsidR="00B8242C">
        <w:rPr>
          <w:sz w:val="28"/>
          <w:szCs w:val="28"/>
        </w:rPr>
        <w:t xml:space="preserve"> </w:t>
      </w:r>
      <w:r w:rsidR="00B8242C">
        <w:rPr>
          <w:sz w:val="28"/>
          <w:szCs w:val="28"/>
        </w:rPr>
        <w:tab/>
        <w:t>(v3 2024)</w:t>
      </w:r>
    </w:p>
    <w:p w14:paraId="4C083609" w14:textId="77777777" w:rsidR="00986279" w:rsidRPr="00D61977" w:rsidRDefault="00986279" w:rsidP="00986279">
      <w:pPr>
        <w:pStyle w:val="Front2"/>
        <w:rPr>
          <w:sz w:val="24"/>
          <w:szCs w:val="24"/>
        </w:rPr>
      </w:pPr>
      <w:r w:rsidRPr="00D61977">
        <w:rPr>
          <w:sz w:val="24"/>
          <w:szCs w:val="24"/>
        </w:rPr>
        <w:t>Pearson Edexcel Level 1/Level 2 GCSE (9-1) in History (1HI0)</w:t>
      </w:r>
    </w:p>
    <w:p w14:paraId="720DDFB8" w14:textId="77777777" w:rsidR="00986279" w:rsidRDefault="00986279" w:rsidP="00986279">
      <w:pPr>
        <w:pStyle w:val="Bodytext"/>
        <w:rPr>
          <w:lang w:eastAsia="en-GB"/>
        </w:rPr>
        <w:sectPr w:rsidR="00986279" w:rsidSect="004F2293">
          <w:headerReference w:type="default" r:id="rId8"/>
          <w:footerReference w:type="default" r:id="rId9"/>
          <w:headerReference w:type="first" r:id="rId10"/>
          <w:footerReference w:type="first" r:id="rId11"/>
          <w:pgSz w:w="16840" w:h="11900" w:orient="landscape" w:code="9"/>
          <w:pgMar w:top="1134" w:right="1134" w:bottom="1134" w:left="1134" w:header="567" w:footer="425" w:gutter="0"/>
          <w:cols w:space="708"/>
        </w:sectPr>
      </w:pPr>
    </w:p>
    <w:p w14:paraId="194C77A1" w14:textId="77777777" w:rsidR="009707A3" w:rsidRDefault="009707A3" w:rsidP="009707A3">
      <w:pPr>
        <w:pStyle w:val="Ahead"/>
      </w:pPr>
      <w:r>
        <w:lastRenderedPageBreak/>
        <w:t xml:space="preserve">Introduction </w:t>
      </w:r>
    </w:p>
    <w:p w14:paraId="2596109D" w14:textId="77777777" w:rsidR="00B8242C" w:rsidRPr="005B7395" w:rsidRDefault="00B8242C" w:rsidP="00B8242C">
      <w:pPr>
        <w:pStyle w:val="text"/>
      </w:pPr>
      <w:bookmarkStart w:id="0" w:name="_Hlk181265736"/>
      <w:r w:rsidRPr="005B7395">
        <w:t xml:space="preserve">This scheme of work has been updated to match Issue 6 of the specification. Summary guidance on the changes can be found </w:t>
      </w:r>
      <w:hyperlink r:id="rId12" w:history="1">
        <w:r w:rsidRPr="005B7395">
          <w:rPr>
            <w:rStyle w:val="Hyperlink"/>
          </w:rPr>
          <w:t>here</w:t>
        </w:r>
      </w:hyperlink>
      <w:r w:rsidRPr="005B7395">
        <w:t>.</w:t>
      </w:r>
    </w:p>
    <w:p w14:paraId="09082890" w14:textId="77777777" w:rsidR="00B8242C" w:rsidRPr="005B7395" w:rsidRDefault="00B8242C" w:rsidP="00B8242C">
      <w:pPr>
        <w:pStyle w:val="text"/>
      </w:pPr>
    </w:p>
    <w:bookmarkEnd w:id="0"/>
    <w:p w14:paraId="1908C168" w14:textId="77777777" w:rsidR="002229E7" w:rsidRPr="00237473" w:rsidRDefault="002229E7" w:rsidP="002229E7">
      <w:pPr>
        <w:pStyle w:val="text"/>
      </w:pPr>
      <w:r w:rsidRPr="00237473">
        <w:t xml:space="preserve">This document provides a sample </w:t>
      </w:r>
      <w:r w:rsidR="008567DD">
        <w:t xml:space="preserve">outline </w:t>
      </w:r>
      <w:r w:rsidRPr="00237473">
        <w:t xml:space="preserve">scheme of work for </w:t>
      </w:r>
      <w:r w:rsidR="00E91334">
        <w:rPr>
          <w:rFonts w:cs="Verdana"/>
          <w:b/>
          <w:bCs/>
          <w:szCs w:val="20"/>
        </w:rPr>
        <w:t>The USA, 1954–</w:t>
      </w:r>
      <w:r w:rsidR="00CF3D0E">
        <w:rPr>
          <w:rFonts w:cs="Verdana"/>
          <w:b/>
          <w:bCs/>
          <w:szCs w:val="20"/>
        </w:rPr>
        <w:t xml:space="preserve">75: conflict at home and abroad. </w:t>
      </w:r>
      <w:r w:rsidR="00F91692">
        <w:t xml:space="preserve">This is intended </w:t>
      </w:r>
      <w:r w:rsidR="00F91692" w:rsidRPr="00237473">
        <w:t>as an example approach only and is not prescriptive</w:t>
      </w:r>
      <w:r w:rsidR="00F91692">
        <w:t>: it</w:t>
      </w:r>
      <w:r w:rsidRPr="00237473">
        <w:t xml:space="preserve"> should be adapted by </w:t>
      </w:r>
      <w:r w:rsidR="00F91692">
        <w:t xml:space="preserve">schools </w:t>
      </w:r>
      <w:r w:rsidRPr="00237473">
        <w:t xml:space="preserve">to fit their timetabling and staffing arrangements. </w:t>
      </w:r>
    </w:p>
    <w:p w14:paraId="7FF062E2" w14:textId="77777777" w:rsidR="00707F90" w:rsidRPr="00237473" w:rsidRDefault="00707F90" w:rsidP="00707F90">
      <w:pPr>
        <w:pStyle w:val="text"/>
      </w:pPr>
      <w:r>
        <w:t xml:space="preserve">This is intended </w:t>
      </w:r>
      <w:r w:rsidRPr="00237473">
        <w:t>as an example approach only and is not prescriptive</w:t>
      </w:r>
      <w:r>
        <w:t>: it</w:t>
      </w:r>
      <w:r w:rsidRPr="00237473">
        <w:t xml:space="preserve"> should be adapted by </w:t>
      </w:r>
      <w:r>
        <w:t xml:space="preserve">schools </w:t>
      </w:r>
      <w:r w:rsidRPr="00237473">
        <w:t xml:space="preserve">to fit their timetabling and staffing arrangements. </w:t>
      </w:r>
    </w:p>
    <w:p w14:paraId="440E6978" w14:textId="77777777" w:rsidR="00707F90" w:rsidRDefault="00707F90" w:rsidP="00707F90">
      <w:pPr>
        <w:pStyle w:val="text"/>
      </w:pPr>
      <w:r w:rsidRPr="00237473">
        <w:t xml:space="preserve">The scheme assumes </w:t>
      </w:r>
      <w:r>
        <w:t>18</w:t>
      </w:r>
      <w:r w:rsidRPr="00237473">
        <w:t xml:space="preserve"> teaching weeks for </w:t>
      </w:r>
      <w:r>
        <w:t>the Modern depth study.</w:t>
      </w:r>
    </w:p>
    <w:p w14:paraId="77F0F3B0" w14:textId="77777777" w:rsidR="00707F90" w:rsidRDefault="00707F90" w:rsidP="00707F90">
      <w:pPr>
        <w:pStyle w:val="text"/>
      </w:pPr>
      <w:r w:rsidRPr="00316446">
        <w:t xml:space="preserve">The separate </w:t>
      </w:r>
      <w:r w:rsidRPr="00845780">
        <w:rPr>
          <w:b/>
        </w:rPr>
        <w:t>Course planner</w:t>
      </w:r>
      <w:r w:rsidRPr="00316446">
        <w:t xml:space="preserve"> document provides a range of examples of delivery options that can be used for planning alongside this document.</w:t>
      </w:r>
    </w:p>
    <w:p w14:paraId="71C191A2" w14:textId="77777777" w:rsidR="00707F90" w:rsidRPr="00E45736" w:rsidRDefault="00707F90" w:rsidP="00707F90">
      <w:pPr>
        <w:pStyle w:val="text"/>
      </w:pPr>
      <w:r>
        <w:t xml:space="preserve">The separate </w:t>
      </w:r>
      <w:r>
        <w:rPr>
          <w:b/>
        </w:rPr>
        <w:t xml:space="preserve">Topic booklet </w:t>
      </w:r>
      <w:r>
        <w:t>for Option 3</w:t>
      </w:r>
      <w:r w:rsidR="000B08A9">
        <w:t>3</w:t>
      </w:r>
      <w:r>
        <w:t xml:space="preserve"> includes illustrative exemplification of content.</w:t>
      </w:r>
    </w:p>
    <w:p w14:paraId="29FCE6DE" w14:textId="77777777" w:rsidR="00707F90" w:rsidRDefault="00707F90" w:rsidP="00707F90"/>
    <w:p w14:paraId="6631A598" w14:textId="77777777" w:rsidR="00707F90" w:rsidRDefault="00707F90" w:rsidP="00707F90">
      <w:pPr>
        <w:pStyle w:val="text"/>
      </w:pPr>
      <w:r>
        <w:t>In adapting this scheme of work, teachers might find it useful to consider the following:</w:t>
      </w:r>
    </w:p>
    <w:p w14:paraId="19AA94FC" w14:textId="77777777" w:rsidR="00707F90" w:rsidRDefault="00707F90" w:rsidP="00707F90">
      <w:pPr>
        <w:pStyle w:val="textbullets"/>
      </w:pPr>
      <w:r w:rsidRPr="004001B5">
        <w:t>What</w:t>
      </w:r>
      <w:r>
        <w:t>,</w:t>
      </w:r>
      <w:r w:rsidRPr="004001B5">
        <w:t xml:space="preserve"> and how much</w:t>
      </w:r>
      <w:r>
        <w:t>,</w:t>
      </w:r>
      <w:r w:rsidRPr="004001B5">
        <w:t xml:space="preserve"> background and contextual </w:t>
      </w:r>
      <w:r>
        <w:t xml:space="preserve">material </w:t>
      </w:r>
      <w:r w:rsidRPr="004001B5">
        <w:t>needs to be covered as an introduction and overview before starting the main specification content</w:t>
      </w:r>
      <w:r>
        <w:t xml:space="preserve">. </w:t>
      </w:r>
      <w:r>
        <w:rPr>
          <w:rFonts w:cs="Verdana"/>
          <w:bCs/>
          <w:szCs w:val="20"/>
        </w:rPr>
        <w:t>This is likely to depend on the school’s KS3 programme of study</w:t>
      </w:r>
      <w:r w:rsidR="000C5C50">
        <w:rPr>
          <w:rFonts w:cs="Verdana"/>
          <w:bCs/>
          <w:szCs w:val="20"/>
        </w:rPr>
        <w:t>.</w:t>
      </w:r>
      <w:r>
        <w:rPr>
          <w:rFonts w:cs="Verdana"/>
          <w:bCs/>
          <w:szCs w:val="20"/>
        </w:rPr>
        <w:t xml:space="preserve"> </w:t>
      </w:r>
    </w:p>
    <w:p w14:paraId="40223614" w14:textId="77777777" w:rsidR="00707F90" w:rsidRDefault="00707F90" w:rsidP="00707F90">
      <w:pPr>
        <w:pStyle w:val="textbullets"/>
      </w:pPr>
      <w:r>
        <w:t xml:space="preserve">The variety of question types in the assessment of the </w:t>
      </w:r>
      <w:r w:rsidR="000C5C50">
        <w:t xml:space="preserve">Modern </w:t>
      </w:r>
      <w:r>
        <w:t xml:space="preserve">depth study, which targets all four Assessment objectives: </w:t>
      </w:r>
    </w:p>
    <w:p w14:paraId="7B816F62" w14:textId="77777777" w:rsidR="00707F90" w:rsidRDefault="00707F90" w:rsidP="00707F90">
      <w:pPr>
        <w:pStyle w:val="textbullets"/>
        <w:numPr>
          <w:ilvl w:val="1"/>
          <w:numId w:val="9"/>
        </w:numPr>
      </w:pPr>
      <w:r>
        <w:t>Give two things you can infer from Source A (AO3)</w:t>
      </w:r>
    </w:p>
    <w:p w14:paraId="2F9B05CD" w14:textId="77777777" w:rsidR="00707F90" w:rsidRDefault="00707F90" w:rsidP="00707F90">
      <w:pPr>
        <w:pStyle w:val="textbullets"/>
        <w:numPr>
          <w:ilvl w:val="1"/>
          <w:numId w:val="9"/>
        </w:numPr>
      </w:pPr>
      <w:r>
        <w:t>Explain why... (AO1/2)</w:t>
      </w:r>
    </w:p>
    <w:p w14:paraId="693A6568" w14:textId="77777777" w:rsidR="00707F90" w:rsidRDefault="000C5C50" w:rsidP="00707F90">
      <w:pPr>
        <w:pStyle w:val="textbullets"/>
        <w:numPr>
          <w:ilvl w:val="1"/>
          <w:numId w:val="9"/>
        </w:numPr>
      </w:pPr>
      <w:r>
        <w:t>How useful are Sources B</w:t>
      </w:r>
      <w:r w:rsidR="00707F90">
        <w:t xml:space="preserve"> and </w:t>
      </w:r>
      <w:r>
        <w:t>C</w:t>
      </w:r>
      <w:r w:rsidR="00707F90">
        <w:t xml:space="preserve"> for an enquiry into... (AO3)</w:t>
      </w:r>
    </w:p>
    <w:p w14:paraId="0051421E" w14:textId="77777777" w:rsidR="00707F90" w:rsidRDefault="00707F90" w:rsidP="00707F90">
      <w:pPr>
        <w:pStyle w:val="textbullets"/>
        <w:numPr>
          <w:ilvl w:val="1"/>
          <w:numId w:val="9"/>
        </w:numPr>
      </w:pPr>
      <w:r>
        <w:t>What is the main difference between [Interpretation 1 and Interpretation 2] (AO4)</w:t>
      </w:r>
    </w:p>
    <w:p w14:paraId="48622BA0" w14:textId="77777777" w:rsidR="00707F90" w:rsidRDefault="00707F90" w:rsidP="00707F90">
      <w:pPr>
        <w:pStyle w:val="textbullets"/>
        <w:numPr>
          <w:ilvl w:val="1"/>
          <w:numId w:val="9"/>
        </w:numPr>
      </w:pPr>
      <w:r>
        <w:t>Suggest one reason why Interpretations 1 and 2 give different views about... (AO4)</w:t>
      </w:r>
    </w:p>
    <w:p w14:paraId="793071D7" w14:textId="77777777" w:rsidR="00707F90" w:rsidRDefault="00707F90" w:rsidP="00707F90">
      <w:pPr>
        <w:pStyle w:val="textbullets"/>
        <w:numPr>
          <w:ilvl w:val="1"/>
          <w:numId w:val="9"/>
        </w:numPr>
      </w:pPr>
      <w:r>
        <w:t>How far do you agree with Interpretation 2 about... (AO4)</w:t>
      </w:r>
    </w:p>
    <w:p w14:paraId="528C2FBA" w14:textId="77777777" w:rsidR="00F37021" w:rsidRDefault="00F37021" w:rsidP="00F37021">
      <w:pPr>
        <w:pStyle w:val="textbullets"/>
        <w:numPr>
          <w:ilvl w:val="0"/>
          <w:numId w:val="0"/>
        </w:numPr>
        <w:ind w:left="964" w:hanging="397"/>
      </w:pPr>
    </w:p>
    <w:p w14:paraId="670FDEB1" w14:textId="77777777" w:rsidR="00BA3CE0" w:rsidRDefault="00BA3CE0" w:rsidP="00BA3CE0">
      <w:pPr>
        <w:pStyle w:val="textbullets"/>
        <w:numPr>
          <w:ilvl w:val="0"/>
          <w:numId w:val="0"/>
        </w:numPr>
        <w:ind w:left="964" w:hanging="397"/>
        <w:sectPr w:rsidR="00BA3CE0" w:rsidSect="008A3417">
          <w:headerReference w:type="default" r:id="rId13"/>
          <w:footerReference w:type="even" r:id="rId14"/>
          <w:footerReference w:type="default" r:id="rId15"/>
          <w:pgSz w:w="16840" w:h="11900" w:orient="landscape" w:code="9"/>
          <w:pgMar w:top="1418" w:right="1418" w:bottom="1418" w:left="1134" w:header="567" w:footer="567" w:gutter="0"/>
          <w:pgNumType w:start="1"/>
          <w:cols w:space="708"/>
          <w:docGrid w:linePitch="326"/>
        </w:sectPr>
      </w:pPr>
    </w:p>
    <w:p w14:paraId="66DF0A42" w14:textId="77777777" w:rsidR="00737AA1" w:rsidRPr="00D35A1F" w:rsidRDefault="00737AA1" w:rsidP="00737AA1">
      <w:pPr>
        <w:pStyle w:val="text"/>
      </w:pPr>
      <w:r>
        <w:lastRenderedPageBreak/>
        <w:t xml:space="preserve">Suggestions have been made for incorporating making inferences from a source, source utility (which is also assessed in Paper 1) and historical interpretations into the teaching, alongside the specified content. These are suggestions only and students should be prepared to answer these question types on the full range of specified content for this option. </w:t>
      </w:r>
    </w:p>
    <w:p w14:paraId="15997DA4" w14:textId="77777777" w:rsidR="00007504" w:rsidRPr="0010147D" w:rsidRDefault="00007504" w:rsidP="00007504">
      <w:pPr>
        <w:pStyle w:val="text"/>
      </w:pPr>
    </w:p>
    <w:tbl>
      <w:tblPr>
        <w:tblW w:w="4973" w:type="pc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1241"/>
        <w:gridCol w:w="13185"/>
      </w:tblGrid>
      <w:tr w:rsidR="008567DD" w:rsidRPr="004C7F7D" w14:paraId="7AEF1361" w14:textId="77777777" w:rsidTr="00B8242C">
        <w:trPr>
          <w:cantSplit/>
          <w:trHeight w:val="214"/>
          <w:tblHeader/>
        </w:trPr>
        <w:tc>
          <w:tcPr>
            <w:tcW w:w="430" w:type="pct"/>
            <w:tcBorders>
              <w:top w:val="single" w:sz="4" w:space="0" w:color="FFFFFF"/>
              <w:left w:val="single" w:sz="4" w:space="0" w:color="FFFFFF"/>
              <w:bottom w:val="single" w:sz="4" w:space="0" w:color="999999"/>
              <w:right w:val="single" w:sz="4" w:space="0" w:color="FFFFFF"/>
            </w:tcBorders>
            <w:shd w:val="clear" w:color="auto" w:fill="999999"/>
          </w:tcPr>
          <w:p w14:paraId="3C75B320" w14:textId="77777777" w:rsidR="008567DD" w:rsidRPr="00F532F8" w:rsidRDefault="008567DD" w:rsidP="00B8242C">
            <w:pPr>
              <w:pStyle w:val="tabletexthd"/>
              <w:spacing w:before="60"/>
              <w:jc w:val="center"/>
              <w:rPr>
                <w:sz w:val="18"/>
                <w:szCs w:val="18"/>
                <w:shd w:val="clear" w:color="auto" w:fill="FFFFFF"/>
              </w:rPr>
            </w:pPr>
            <w:r>
              <w:rPr>
                <w:sz w:val="18"/>
                <w:szCs w:val="18"/>
              </w:rPr>
              <w:t>Week</w:t>
            </w:r>
          </w:p>
        </w:tc>
        <w:tc>
          <w:tcPr>
            <w:tcW w:w="4570" w:type="pct"/>
            <w:tcBorders>
              <w:top w:val="single" w:sz="4" w:space="0" w:color="FFFFFF"/>
              <w:left w:val="single" w:sz="4" w:space="0" w:color="FFFFFF"/>
              <w:bottom w:val="single" w:sz="4" w:space="0" w:color="999999"/>
              <w:right w:val="single" w:sz="4" w:space="0" w:color="FFFFFF"/>
            </w:tcBorders>
            <w:shd w:val="clear" w:color="auto" w:fill="999999"/>
          </w:tcPr>
          <w:p w14:paraId="0A65B576" w14:textId="77777777" w:rsidR="008567DD" w:rsidRDefault="008567DD" w:rsidP="00B8242C">
            <w:pPr>
              <w:pStyle w:val="tabletexthd"/>
              <w:spacing w:before="60"/>
              <w:jc w:val="center"/>
              <w:rPr>
                <w:sz w:val="18"/>
                <w:szCs w:val="18"/>
              </w:rPr>
            </w:pPr>
            <w:r>
              <w:rPr>
                <w:sz w:val="18"/>
                <w:szCs w:val="18"/>
              </w:rPr>
              <w:t>Specification content</w:t>
            </w:r>
          </w:p>
        </w:tc>
      </w:tr>
      <w:tr w:rsidR="00734816" w:rsidRPr="002B4ED0" w14:paraId="53D75DBA" w14:textId="77777777" w:rsidTr="00B8242C">
        <w:trPr>
          <w:cantSplit/>
          <w:trHeight w:val="1128"/>
        </w:trPr>
        <w:tc>
          <w:tcPr>
            <w:tcW w:w="430" w:type="pct"/>
            <w:tcBorders>
              <w:top w:val="single" w:sz="4" w:space="0" w:color="999999"/>
              <w:bottom w:val="single" w:sz="4" w:space="0" w:color="999999"/>
            </w:tcBorders>
            <w:shd w:val="clear" w:color="auto" w:fill="auto"/>
          </w:tcPr>
          <w:p w14:paraId="40C77430" w14:textId="77777777" w:rsidR="00734816" w:rsidRPr="00007504" w:rsidRDefault="00734816" w:rsidP="00B8242C">
            <w:pPr>
              <w:pStyle w:val="textbullets"/>
              <w:numPr>
                <w:ilvl w:val="0"/>
                <w:numId w:val="0"/>
              </w:numPr>
              <w:tabs>
                <w:tab w:val="clear" w:pos="964"/>
              </w:tabs>
              <w:spacing w:before="60"/>
              <w:jc w:val="center"/>
              <w:rPr>
                <w:rFonts w:cs="Arial"/>
                <w:szCs w:val="18"/>
              </w:rPr>
            </w:pPr>
            <w:r>
              <w:rPr>
                <w:rFonts w:cs="Arial"/>
                <w:szCs w:val="18"/>
              </w:rPr>
              <w:t>1</w:t>
            </w:r>
          </w:p>
        </w:tc>
        <w:tc>
          <w:tcPr>
            <w:tcW w:w="4570" w:type="pct"/>
            <w:tcBorders>
              <w:top w:val="single" w:sz="4" w:space="0" w:color="999999"/>
              <w:bottom w:val="single" w:sz="4" w:space="0" w:color="999999"/>
            </w:tcBorders>
            <w:vAlign w:val="center"/>
          </w:tcPr>
          <w:p w14:paraId="3EC12A55" w14:textId="77777777" w:rsidR="00734816" w:rsidRPr="00A6343E" w:rsidRDefault="00734816" w:rsidP="00734816">
            <w:pPr>
              <w:pStyle w:val="Tabletextbullets"/>
              <w:rPr>
                <w:i/>
              </w:rPr>
            </w:pPr>
            <w:r w:rsidRPr="00A6343E">
              <w:rPr>
                <w:i/>
              </w:rPr>
              <w:t xml:space="preserve">Introduction </w:t>
            </w:r>
            <w:r w:rsidR="00A6343E">
              <w:rPr>
                <w:i/>
              </w:rPr>
              <w:t xml:space="preserve">to </w:t>
            </w:r>
            <w:r w:rsidRPr="00A6343E">
              <w:rPr>
                <w:i/>
              </w:rPr>
              <w:t xml:space="preserve">and overview of </w:t>
            </w:r>
            <w:r w:rsidR="00A6343E" w:rsidRPr="00A6343E">
              <w:rPr>
                <w:i/>
              </w:rPr>
              <w:t>the USA, 1954–</w:t>
            </w:r>
            <w:r w:rsidR="00CF3D0E" w:rsidRPr="00A6343E">
              <w:rPr>
                <w:i/>
              </w:rPr>
              <w:t>75</w:t>
            </w:r>
          </w:p>
          <w:p w14:paraId="1381D101" w14:textId="77777777" w:rsidR="00734816" w:rsidRDefault="00734816" w:rsidP="00734816">
            <w:pPr>
              <w:pStyle w:val="Tabletext"/>
              <w:rPr>
                <w:b/>
              </w:rPr>
            </w:pPr>
          </w:p>
          <w:p w14:paraId="763BC9D5" w14:textId="77777777" w:rsidR="00CF3D0E" w:rsidRDefault="00734816" w:rsidP="00CF3D0E">
            <w:pPr>
              <w:pStyle w:val="Tablesub-head"/>
            </w:pPr>
            <w:r w:rsidRPr="00734816">
              <w:t xml:space="preserve">Key </w:t>
            </w:r>
            <w:r w:rsidR="00BE4DDC" w:rsidRPr="00734816">
              <w:t xml:space="preserve">topic </w:t>
            </w:r>
            <w:r w:rsidRPr="00734816">
              <w:t xml:space="preserve">1.1 </w:t>
            </w:r>
            <w:r w:rsidR="00CF3D0E">
              <w:t xml:space="preserve">The position of </w:t>
            </w:r>
            <w:r w:rsidR="00B8242C">
              <w:t xml:space="preserve">Black </w:t>
            </w:r>
            <w:r w:rsidR="00CF3D0E">
              <w:t>Americans in the early 1950s</w:t>
            </w:r>
          </w:p>
          <w:p w14:paraId="6EBAF29A" w14:textId="77777777" w:rsidR="00CF3D0E" w:rsidRPr="00CF3D0E" w:rsidRDefault="00CF3D0E" w:rsidP="00A6343E">
            <w:pPr>
              <w:pStyle w:val="Tabletextbullets"/>
            </w:pPr>
            <w:r w:rsidRPr="00CF3D0E">
              <w:rPr>
                <w:lang w:eastAsia="en-GB"/>
              </w:rPr>
              <w:t>Segregation, discrimination and voting rights in the Southern states.</w:t>
            </w:r>
          </w:p>
          <w:p w14:paraId="14F9F276" w14:textId="77777777" w:rsidR="00734816" w:rsidRPr="00CF3D0E" w:rsidRDefault="00CF3D0E" w:rsidP="00A6343E">
            <w:pPr>
              <w:pStyle w:val="Tabletextbullets"/>
              <w:rPr>
                <w:sz w:val="18"/>
                <w:szCs w:val="18"/>
                <w:lang w:eastAsia="en-GB"/>
              </w:rPr>
            </w:pPr>
            <w:r w:rsidRPr="00CF3D0E">
              <w:rPr>
                <w:lang w:eastAsia="en-GB"/>
              </w:rPr>
              <w:t>The work of civil rights organisations, including the NAACP and CORE.</w:t>
            </w:r>
          </w:p>
        </w:tc>
      </w:tr>
      <w:tr w:rsidR="00734816" w:rsidRPr="002B4ED0" w14:paraId="755D4EDB" w14:textId="77777777" w:rsidTr="00B8242C">
        <w:trPr>
          <w:cantSplit/>
          <w:trHeight w:val="77"/>
        </w:trPr>
        <w:tc>
          <w:tcPr>
            <w:tcW w:w="430" w:type="pct"/>
            <w:tcBorders>
              <w:top w:val="single" w:sz="4" w:space="0" w:color="999999"/>
            </w:tcBorders>
            <w:shd w:val="clear" w:color="auto" w:fill="auto"/>
          </w:tcPr>
          <w:p w14:paraId="08337FA4" w14:textId="77777777" w:rsidR="00734816" w:rsidRDefault="00734816" w:rsidP="00B8242C">
            <w:pPr>
              <w:pStyle w:val="textbullets"/>
              <w:numPr>
                <w:ilvl w:val="0"/>
                <w:numId w:val="0"/>
              </w:numPr>
              <w:spacing w:before="60"/>
              <w:jc w:val="center"/>
              <w:rPr>
                <w:rFonts w:cs="Arial"/>
                <w:szCs w:val="18"/>
              </w:rPr>
            </w:pPr>
            <w:r>
              <w:rPr>
                <w:rFonts w:cs="Arial"/>
                <w:szCs w:val="18"/>
              </w:rPr>
              <w:t>2</w:t>
            </w:r>
          </w:p>
        </w:tc>
        <w:tc>
          <w:tcPr>
            <w:tcW w:w="4570" w:type="pct"/>
            <w:tcBorders>
              <w:top w:val="single" w:sz="4" w:space="0" w:color="999999"/>
            </w:tcBorders>
          </w:tcPr>
          <w:p w14:paraId="3AB46C9A" w14:textId="77777777" w:rsidR="00734816" w:rsidRDefault="00734816" w:rsidP="00734816">
            <w:pPr>
              <w:pStyle w:val="Tablesub-head"/>
            </w:pPr>
            <w:r>
              <w:t xml:space="preserve">Key </w:t>
            </w:r>
            <w:r w:rsidR="00BE4DDC">
              <w:t xml:space="preserve">topic </w:t>
            </w:r>
            <w:r>
              <w:t xml:space="preserve">1.2 </w:t>
            </w:r>
            <w:r w:rsidR="00B8242C">
              <w:t>Developments</w:t>
            </w:r>
            <w:r w:rsidR="00CF3D0E">
              <w:t xml:space="preserve"> in education</w:t>
            </w:r>
          </w:p>
          <w:p w14:paraId="36B7285D" w14:textId="77777777" w:rsidR="00CF3D0E" w:rsidRPr="00CF3D0E" w:rsidRDefault="00B8242C" w:rsidP="00A6343E">
            <w:pPr>
              <w:pStyle w:val="Tabletextbullets"/>
              <w:rPr>
                <w:lang w:eastAsia="en-GB"/>
              </w:rPr>
            </w:pPr>
            <w:r>
              <w:rPr>
                <w:lang w:eastAsia="en-GB"/>
              </w:rPr>
              <w:t>Reasons for,</w:t>
            </w:r>
            <w:r w:rsidR="00CF3D0E" w:rsidRPr="00CF3D0E">
              <w:rPr>
                <w:lang w:eastAsia="en-GB"/>
              </w:rPr>
              <w:t xml:space="preserve"> key features</w:t>
            </w:r>
            <w:r>
              <w:rPr>
                <w:lang w:eastAsia="en-GB"/>
              </w:rPr>
              <w:t xml:space="preserve"> and significance</w:t>
            </w:r>
            <w:r w:rsidR="00CF3D0E" w:rsidRPr="00CF3D0E">
              <w:rPr>
                <w:lang w:eastAsia="en-GB"/>
              </w:rPr>
              <w:t xml:space="preserve"> of the Brown v. Topeka case (1954).</w:t>
            </w:r>
          </w:p>
          <w:p w14:paraId="2B943826" w14:textId="77777777" w:rsidR="00CF3D0E" w:rsidRPr="00CF3D0E" w:rsidRDefault="00B8242C" w:rsidP="00A6343E">
            <w:pPr>
              <w:pStyle w:val="Tabletextbullets"/>
              <w:rPr>
                <w:lang w:eastAsia="en-GB"/>
              </w:rPr>
            </w:pPr>
            <w:r>
              <w:rPr>
                <w:lang w:eastAsia="en-GB"/>
              </w:rPr>
              <w:t>Reasons for,</w:t>
            </w:r>
            <w:r w:rsidRPr="00CF3D0E">
              <w:rPr>
                <w:lang w:eastAsia="en-GB"/>
              </w:rPr>
              <w:t xml:space="preserve"> key features</w:t>
            </w:r>
            <w:r>
              <w:rPr>
                <w:lang w:eastAsia="en-GB"/>
              </w:rPr>
              <w:t xml:space="preserve"> and significance</w:t>
            </w:r>
            <w:r w:rsidRPr="00CF3D0E">
              <w:rPr>
                <w:lang w:eastAsia="en-GB"/>
              </w:rPr>
              <w:t xml:space="preserve"> of </w:t>
            </w:r>
            <w:r w:rsidR="00CF3D0E" w:rsidRPr="00CF3D0E">
              <w:rPr>
                <w:lang w:eastAsia="en-GB"/>
              </w:rPr>
              <w:t>the events at Little Rock High School</w:t>
            </w:r>
            <w:r w:rsidR="00BB6159">
              <w:rPr>
                <w:lang w:eastAsia="en-GB"/>
              </w:rPr>
              <w:t xml:space="preserve"> (</w:t>
            </w:r>
            <w:r w:rsidR="00CF3D0E" w:rsidRPr="00CF3D0E">
              <w:rPr>
                <w:lang w:eastAsia="en-GB"/>
              </w:rPr>
              <w:t>1957</w:t>
            </w:r>
            <w:r w:rsidR="00BB6159">
              <w:rPr>
                <w:lang w:eastAsia="en-GB"/>
              </w:rPr>
              <w:t>)</w:t>
            </w:r>
            <w:r w:rsidR="00CF3D0E" w:rsidRPr="00CF3D0E">
              <w:rPr>
                <w:lang w:eastAsia="en-GB"/>
              </w:rPr>
              <w:t>.</w:t>
            </w:r>
          </w:p>
          <w:p w14:paraId="703AE4C4" w14:textId="77777777" w:rsidR="00734816" w:rsidRPr="00734816" w:rsidRDefault="00D421D7" w:rsidP="00734816">
            <w:pPr>
              <w:pStyle w:val="Tabletextbullets"/>
              <w:rPr>
                <w:b/>
                <w:i/>
              </w:rPr>
            </w:pPr>
            <w:r>
              <w:rPr>
                <w:i/>
              </w:rPr>
              <w:t>Making inferences from a source</w:t>
            </w:r>
          </w:p>
          <w:p w14:paraId="1E6720AD" w14:textId="77777777" w:rsidR="00734816" w:rsidRPr="00734816" w:rsidRDefault="00734816" w:rsidP="00CF3D0E">
            <w:pPr>
              <w:pStyle w:val="Tabletextbullets"/>
              <w:rPr>
                <w:b/>
                <w:i/>
              </w:rPr>
            </w:pPr>
            <w:r>
              <w:rPr>
                <w:i/>
              </w:rPr>
              <w:t xml:space="preserve">Analysis of </w:t>
            </w:r>
            <w:r w:rsidRPr="00734816">
              <w:rPr>
                <w:i/>
              </w:rPr>
              <w:t xml:space="preserve">interpretations on </w:t>
            </w:r>
            <w:r w:rsidR="008D4F82">
              <w:rPr>
                <w:i/>
              </w:rPr>
              <w:t>desegregation in education</w:t>
            </w:r>
          </w:p>
        </w:tc>
      </w:tr>
      <w:tr w:rsidR="00734816" w:rsidRPr="002B4ED0" w14:paraId="3E7CD6B0" w14:textId="77777777" w:rsidTr="00B8242C">
        <w:trPr>
          <w:cantSplit/>
          <w:trHeight w:val="400"/>
        </w:trPr>
        <w:tc>
          <w:tcPr>
            <w:tcW w:w="430" w:type="pct"/>
            <w:tcBorders>
              <w:top w:val="single" w:sz="4" w:space="0" w:color="999999"/>
              <w:bottom w:val="single" w:sz="4" w:space="0" w:color="999999"/>
            </w:tcBorders>
            <w:shd w:val="clear" w:color="auto" w:fill="auto"/>
          </w:tcPr>
          <w:p w14:paraId="17A728BD" w14:textId="77777777" w:rsidR="00734816" w:rsidRDefault="00734816" w:rsidP="00B8242C">
            <w:pPr>
              <w:pStyle w:val="textbullets"/>
              <w:numPr>
                <w:ilvl w:val="0"/>
                <w:numId w:val="0"/>
              </w:numPr>
              <w:tabs>
                <w:tab w:val="clear" w:pos="964"/>
              </w:tabs>
              <w:spacing w:before="60"/>
              <w:jc w:val="center"/>
              <w:rPr>
                <w:rFonts w:cs="Arial"/>
                <w:szCs w:val="18"/>
              </w:rPr>
            </w:pPr>
            <w:r>
              <w:rPr>
                <w:rFonts w:cs="Arial"/>
                <w:szCs w:val="18"/>
              </w:rPr>
              <w:t>3</w:t>
            </w:r>
          </w:p>
        </w:tc>
        <w:tc>
          <w:tcPr>
            <w:tcW w:w="4570" w:type="pct"/>
            <w:tcBorders>
              <w:top w:val="single" w:sz="4" w:space="0" w:color="999999"/>
              <w:bottom w:val="single" w:sz="4" w:space="0" w:color="999999"/>
            </w:tcBorders>
          </w:tcPr>
          <w:p w14:paraId="02D293D6" w14:textId="77777777" w:rsidR="00777AF5" w:rsidRDefault="00777AF5" w:rsidP="00777AF5">
            <w:pPr>
              <w:pStyle w:val="Tablesub-head"/>
            </w:pPr>
            <w:r>
              <w:t xml:space="preserve">Key </w:t>
            </w:r>
            <w:r w:rsidR="00BE4DDC">
              <w:t xml:space="preserve">topic </w:t>
            </w:r>
            <w:r>
              <w:t>1.3 The Montgomery Bus Boycott and its impact, 1955-60</w:t>
            </w:r>
          </w:p>
          <w:p w14:paraId="637E1C8E" w14:textId="77777777" w:rsidR="00777AF5" w:rsidRPr="00777AF5" w:rsidRDefault="00777AF5" w:rsidP="00A6343E">
            <w:pPr>
              <w:pStyle w:val="Tabletextbullets"/>
              <w:rPr>
                <w:lang w:eastAsia="en-GB"/>
              </w:rPr>
            </w:pPr>
            <w:r w:rsidRPr="00777AF5">
              <w:rPr>
                <w:lang w:eastAsia="en-GB"/>
              </w:rPr>
              <w:t>Causes and events of the Montgomery Bus Boycott. The significance of Rosa Parks.</w:t>
            </w:r>
          </w:p>
          <w:p w14:paraId="781A6D0B" w14:textId="77777777" w:rsidR="00777AF5" w:rsidRPr="00777AF5" w:rsidRDefault="00777AF5" w:rsidP="00A6343E">
            <w:pPr>
              <w:pStyle w:val="Tabletextbullets"/>
              <w:rPr>
                <w:lang w:eastAsia="en-GB"/>
              </w:rPr>
            </w:pPr>
            <w:r w:rsidRPr="00777AF5">
              <w:rPr>
                <w:lang w:eastAsia="en-GB"/>
              </w:rPr>
              <w:t xml:space="preserve">Reasons for the success and importance of the boycott. The Supreme Court ruling. The Civil Rights Act </w:t>
            </w:r>
            <w:r w:rsidR="0051170F">
              <w:rPr>
                <w:lang w:eastAsia="en-GB"/>
              </w:rPr>
              <w:t>(</w:t>
            </w:r>
            <w:r w:rsidRPr="00777AF5">
              <w:rPr>
                <w:lang w:eastAsia="en-GB"/>
              </w:rPr>
              <w:t>1957</w:t>
            </w:r>
            <w:r w:rsidR="0051170F">
              <w:rPr>
                <w:lang w:eastAsia="en-GB"/>
              </w:rPr>
              <w:t>)</w:t>
            </w:r>
            <w:r w:rsidRPr="00777AF5">
              <w:rPr>
                <w:lang w:eastAsia="en-GB"/>
              </w:rPr>
              <w:t>.</w:t>
            </w:r>
          </w:p>
          <w:p w14:paraId="28D640B3" w14:textId="77777777" w:rsidR="00734816" w:rsidRPr="00BF0287" w:rsidRDefault="00777AF5" w:rsidP="00BF0287">
            <w:pPr>
              <w:pStyle w:val="Tabletextbullets"/>
              <w:rPr>
                <w:lang w:eastAsia="en-GB"/>
              </w:rPr>
            </w:pPr>
            <w:r w:rsidRPr="00777AF5">
              <w:rPr>
                <w:lang w:eastAsia="en-GB"/>
              </w:rPr>
              <w:t>The significance of the leadership of Martin Luther King. The setting up of the SCLC.</w:t>
            </w:r>
          </w:p>
        </w:tc>
      </w:tr>
      <w:tr w:rsidR="00734816" w:rsidRPr="002B4ED0" w14:paraId="6DD53C13" w14:textId="77777777" w:rsidTr="00B8242C">
        <w:trPr>
          <w:cantSplit/>
          <w:trHeight w:val="400"/>
        </w:trPr>
        <w:tc>
          <w:tcPr>
            <w:tcW w:w="430" w:type="pct"/>
            <w:tcBorders>
              <w:top w:val="single" w:sz="4" w:space="0" w:color="999999"/>
              <w:bottom w:val="single" w:sz="4" w:space="0" w:color="999999"/>
            </w:tcBorders>
            <w:shd w:val="clear" w:color="auto" w:fill="auto"/>
          </w:tcPr>
          <w:p w14:paraId="5644F89A" w14:textId="77777777" w:rsidR="00734816" w:rsidRDefault="00734816" w:rsidP="00B8242C">
            <w:pPr>
              <w:pStyle w:val="textbullets"/>
              <w:numPr>
                <w:ilvl w:val="0"/>
                <w:numId w:val="0"/>
              </w:numPr>
              <w:tabs>
                <w:tab w:val="clear" w:pos="964"/>
              </w:tabs>
              <w:spacing w:before="60"/>
              <w:jc w:val="center"/>
              <w:rPr>
                <w:rFonts w:cs="Arial"/>
                <w:szCs w:val="18"/>
              </w:rPr>
            </w:pPr>
            <w:r>
              <w:rPr>
                <w:rFonts w:cs="Arial"/>
                <w:szCs w:val="18"/>
              </w:rPr>
              <w:t>4</w:t>
            </w:r>
          </w:p>
        </w:tc>
        <w:tc>
          <w:tcPr>
            <w:tcW w:w="4570" w:type="pct"/>
            <w:tcBorders>
              <w:top w:val="single" w:sz="4" w:space="0" w:color="999999"/>
              <w:bottom w:val="single" w:sz="4" w:space="0" w:color="999999"/>
            </w:tcBorders>
          </w:tcPr>
          <w:p w14:paraId="2F01FD8B" w14:textId="77777777" w:rsidR="00734816" w:rsidRDefault="00777AF5" w:rsidP="00734816">
            <w:pPr>
              <w:pStyle w:val="Tablesub-head"/>
            </w:pPr>
            <w:r>
              <w:t xml:space="preserve">Key </w:t>
            </w:r>
            <w:r w:rsidR="00BE4DDC">
              <w:t xml:space="preserve">topic </w:t>
            </w:r>
            <w:r>
              <w:t>1.4 Opposition to the civil rights movement</w:t>
            </w:r>
          </w:p>
          <w:p w14:paraId="7A688FEA" w14:textId="77777777" w:rsidR="00777AF5" w:rsidRPr="00777AF5" w:rsidRDefault="00777AF5" w:rsidP="00A6343E">
            <w:pPr>
              <w:pStyle w:val="Tabletextbullets"/>
              <w:rPr>
                <w:lang w:eastAsia="en-GB"/>
              </w:rPr>
            </w:pPr>
            <w:r w:rsidRPr="00777AF5">
              <w:rPr>
                <w:lang w:eastAsia="en-GB"/>
              </w:rPr>
              <w:t>The Ku Klux Klan and violence, including the murder of Emmet Till in 1955.</w:t>
            </w:r>
          </w:p>
          <w:p w14:paraId="1865FCB8" w14:textId="77777777" w:rsidR="00777AF5" w:rsidRPr="00777AF5" w:rsidRDefault="00777AF5" w:rsidP="00A6343E">
            <w:pPr>
              <w:pStyle w:val="Tabletextbullets"/>
              <w:rPr>
                <w:lang w:eastAsia="en-GB"/>
              </w:rPr>
            </w:pPr>
            <w:r w:rsidRPr="00777AF5">
              <w:rPr>
                <w:lang w:eastAsia="en-GB"/>
              </w:rPr>
              <w:t>Opposition to desegregation in the South</w:t>
            </w:r>
            <w:r w:rsidR="00B8242C">
              <w:rPr>
                <w:lang w:eastAsia="en-GB"/>
              </w:rPr>
              <w:t>, including the ‘Dixiecrats’ and</w:t>
            </w:r>
            <w:r w:rsidRPr="00777AF5">
              <w:rPr>
                <w:lang w:eastAsia="en-GB"/>
              </w:rPr>
              <w:t xml:space="preserve"> </w:t>
            </w:r>
            <w:r w:rsidR="00B8242C">
              <w:rPr>
                <w:lang w:eastAsia="en-GB"/>
              </w:rPr>
              <w:t>t</w:t>
            </w:r>
            <w:r w:rsidRPr="00777AF5">
              <w:rPr>
                <w:lang w:eastAsia="en-GB"/>
              </w:rPr>
              <w:t>he setting up of White Citizens’ Councils.</w:t>
            </w:r>
          </w:p>
          <w:p w14:paraId="1B9CEA4D" w14:textId="77777777" w:rsidR="00734816" w:rsidRPr="00C90935" w:rsidRDefault="00D421D7" w:rsidP="00D421D7">
            <w:pPr>
              <w:pStyle w:val="Tabletextbullets"/>
              <w:rPr>
                <w:b/>
                <w:i/>
              </w:rPr>
            </w:pPr>
            <w:r>
              <w:rPr>
                <w:i/>
              </w:rPr>
              <w:t>Making inferences from a source</w:t>
            </w:r>
          </w:p>
        </w:tc>
      </w:tr>
      <w:tr w:rsidR="00734816" w:rsidRPr="002B4ED0" w14:paraId="27EDBAE5" w14:textId="77777777" w:rsidTr="00B8242C">
        <w:trPr>
          <w:cantSplit/>
          <w:trHeight w:val="810"/>
        </w:trPr>
        <w:tc>
          <w:tcPr>
            <w:tcW w:w="430" w:type="pct"/>
            <w:tcBorders>
              <w:top w:val="single" w:sz="4" w:space="0" w:color="999999"/>
            </w:tcBorders>
            <w:shd w:val="clear" w:color="auto" w:fill="auto"/>
          </w:tcPr>
          <w:p w14:paraId="286E9645" w14:textId="77777777" w:rsidR="00734816" w:rsidRDefault="00734816" w:rsidP="00B8242C">
            <w:pPr>
              <w:pStyle w:val="textbullets"/>
              <w:numPr>
                <w:ilvl w:val="0"/>
                <w:numId w:val="0"/>
              </w:numPr>
              <w:spacing w:before="60"/>
              <w:jc w:val="center"/>
              <w:rPr>
                <w:rFonts w:cs="Arial"/>
                <w:szCs w:val="18"/>
              </w:rPr>
            </w:pPr>
            <w:r>
              <w:rPr>
                <w:rFonts w:cs="Arial"/>
                <w:szCs w:val="18"/>
              </w:rPr>
              <w:lastRenderedPageBreak/>
              <w:t>5</w:t>
            </w:r>
          </w:p>
        </w:tc>
        <w:tc>
          <w:tcPr>
            <w:tcW w:w="4570" w:type="pct"/>
            <w:tcBorders>
              <w:top w:val="single" w:sz="4" w:space="0" w:color="999999"/>
            </w:tcBorders>
          </w:tcPr>
          <w:p w14:paraId="3587A82A" w14:textId="77777777" w:rsidR="008D4F82" w:rsidRPr="008D4F82" w:rsidRDefault="008D4F82" w:rsidP="008D4F82">
            <w:pPr>
              <w:pStyle w:val="Tablesub-head"/>
            </w:pPr>
            <w:r>
              <w:t xml:space="preserve">Key </w:t>
            </w:r>
            <w:r w:rsidR="00BE4DDC">
              <w:t xml:space="preserve">topic </w:t>
            </w:r>
            <w:r>
              <w:t xml:space="preserve">2.1 </w:t>
            </w:r>
            <w:r w:rsidR="00B8242C">
              <w:t>Developments,</w:t>
            </w:r>
            <w:r>
              <w:t xml:space="preserve"> 1960-</w:t>
            </w:r>
            <w:r w:rsidR="00007920">
              <w:t>6</w:t>
            </w:r>
            <w:r>
              <w:t>2</w:t>
            </w:r>
          </w:p>
          <w:p w14:paraId="304B1798" w14:textId="77777777" w:rsidR="008D4F82" w:rsidRPr="008D4F82" w:rsidRDefault="008D4F82" w:rsidP="00A6343E">
            <w:pPr>
              <w:pStyle w:val="Tabletextbullets"/>
            </w:pPr>
            <w:r w:rsidRPr="008D4F82">
              <w:rPr>
                <w:lang w:eastAsia="en-GB"/>
              </w:rPr>
              <w:t>The significance of Greensboro and the sit-in movement.</w:t>
            </w:r>
          </w:p>
          <w:p w14:paraId="4BD4EEDF" w14:textId="77777777" w:rsidR="008D4F82" w:rsidRPr="008D4F82" w:rsidRDefault="00B8242C" w:rsidP="00A6343E">
            <w:pPr>
              <w:pStyle w:val="Tabletextbullets"/>
              <w:rPr>
                <w:lang w:eastAsia="en-GB"/>
              </w:rPr>
            </w:pPr>
            <w:r>
              <w:rPr>
                <w:lang w:eastAsia="en-GB"/>
              </w:rPr>
              <w:t>Reasons for,</w:t>
            </w:r>
            <w:r w:rsidRPr="00CF3D0E">
              <w:rPr>
                <w:lang w:eastAsia="en-GB"/>
              </w:rPr>
              <w:t xml:space="preserve"> key features</w:t>
            </w:r>
            <w:r>
              <w:rPr>
                <w:lang w:eastAsia="en-GB"/>
              </w:rPr>
              <w:t xml:space="preserve"> and significance</w:t>
            </w:r>
            <w:r w:rsidRPr="00CF3D0E">
              <w:rPr>
                <w:lang w:eastAsia="en-GB"/>
              </w:rPr>
              <w:t xml:space="preserve"> of </w:t>
            </w:r>
            <w:r>
              <w:rPr>
                <w:lang w:eastAsia="en-GB"/>
              </w:rPr>
              <w:t xml:space="preserve">the </w:t>
            </w:r>
            <w:r w:rsidR="008D4F82" w:rsidRPr="008D4F82">
              <w:rPr>
                <w:lang w:eastAsia="en-GB"/>
              </w:rPr>
              <w:t>Freedom Riders</w:t>
            </w:r>
            <w:r>
              <w:rPr>
                <w:lang w:eastAsia="en-GB"/>
              </w:rPr>
              <w:t>, including</w:t>
            </w:r>
            <w:r w:rsidR="008D4F82" w:rsidRPr="008D4F82">
              <w:rPr>
                <w:lang w:eastAsia="en-GB"/>
              </w:rPr>
              <w:t xml:space="preserve"> Ku Klux Klan violence and the Anniston bomb</w:t>
            </w:r>
            <w:r w:rsidR="003A5F62">
              <w:rPr>
                <w:lang w:eastAsia="en-GB"/>
              </w:rPr>
              <w:t xml:space="preserve"> (1961)</w:t>
            </w:r>
            <w:r w:rsidR="008D4F82" w:rsidRPr="008D4F82">
              <w:rPr>
                <w:lang w:eastAsia="en-GB"/>
              </w:rPr>
              <w:t>.</w:t>
            </w:r>
          </w:p>
          <w:p w14:paraId="42DCB3E2" w14:textId="77777777" w:rsidR="00CF3D0E" w:rsidRPr="008D4F82" w:rsidRDefault="008D4F82" w:rsidP="00A6343E">
            <w:pPr>
              <w:pStyle w:val="Tabletextbullets"/>
              <w:rPr>
                <w:lang w:eastAsia="en-GB"/>
              </w:rPr>
            </w:pPr>
            <w:r w:rsidRPr="008D4F82">
              <w:rPr>
                <w:lang w:eastAsia="en-GB"/>
              </w:rPr>
              <w:t>The James Meredith case</w:t>
            </w:r>
            <w:r w:rsidR="003A5F62">
              <w:rPr>
                <w:lang w:eastAsia="en-GB"/>
              </w:rPr>
              <w:t xml:space="preserve"> (</w:t>
            </w:r>
            <w:r w:rsidRPr="008D4F82">
              <w:rPr>
                <w:lang w:eastAsia="en-GB"/>
              </w:rPr>
              <w:t>1962</w:t>
            </w:r>
            <w:r w:rsidR="003A5F62">
              <w:rPr>
                <w:lang w:eastAsia="en-GB"/>
              </w:rPr>
              <w:t>)</w:t>
            </w:r>
            <w:r w:rsidRPr="008D4F82">
              <w:rPr>
                <w:lang w:eastAsia="en-GB"/>
              </w:rPr>
              <w:t>.</w:t>
            </w:r>
          </w:p>
        </w:tc>
      </w:tr>
      <w:tr w:rsidR="00734816" w:rsidRPr="002B4ED0" w14:paraId="3A8EBC54" w14:textId="77777777" w:rsidTr="00B8242C">
        <w:trPr>
          <w:cantSplit/>
          <w:trHeight w:val="400"/>
        </w:trPr>
        <w:tc>
          <w:tcPr>
            <w:tcW w:w="430" w:type="pct"/>
            <w:tcBorders>
              <w:top w:val="single" w:sz="4" w:space="0" w:color="999999"/>
              <w:bottom w:val="single" w:sz="4" w:space="0" w:color="999999"/>
            </w:tcBorders>
            <w:shd w:val="clear" w:color="auto" w:fill="auto"/>
          </w:tcPr>
          <w:p w14:paraId="6627BC34" w14:textId="77777777" w:rsidR="00734816" w:rsidRDefault="00734816" w:rsidP="00B8242C">
            <w:pPr>
              <w:pStyle w:val="textbullets"/>
              <w:numPr>
                <w:ilvl w:val="0"/>
                <w:numId w:val="0"/>
              </w:numPr>
              <w:tabs>
                <w:tab w:val="clear" w:pos="964"/>
              </w:tabs>
              <w:spacing w:before="60"/>
              <w:jc w:val="center"/>
              <w:rPr>
                <w:rFonts w:cs="Arial"/>
                <w:szCs w:val="18"/>
              </w:rPr>
            </w:pPr>
            <w:r>
              <w:rPr>
                <w:rFonts w:cs="Arial"/>
                <w:szCs w:val="18"/>
              </w:rPr>
              <w:t>6</w:t>
            </w:r>
          </w:p>
        </w:tc>
        <w:tc>
          <w:tcPr>
            <w:tcW w:w="4570" w:type="pct"/>
            <w:tcBorders>
              <w:top w:val="single" w:sz="4" w:space="0" w:color="999999"/>
              <w:bottom w:val="single" w:sz="4" w:space="0" w:color="999999"/>
            </w:tcBorders>
          </w:tcPr>
          <w:p w14:paraId="1D6C0F01" w14:textId="77777777" w:rsidR="00734816" w:rsidRDefault="008D4F82" w:rsidP="00734816">
            <w:pPr>
              <w:pStyle w:val="Tablesub-head"/>
            </w:pPr>
            <w:r>
              <w:t xml:space="preserve">Key </w:t>
            </w:r>
            <w:r w:rsidR="00BE4DDC">
              <w:t xml:space="preserve">topic </w:t>
            </w:r>
            <w:r>
              <w:t>2.2 Peaceful protests and their impact, 1963-65</w:t>
            </w:r>
          </w:p>
          <w:p w14:paraId="5588535B" w14:textId="77777777" w:rsidR="00B8242C" w:rsidRDefault="008D4F82" w:rsidP="00A6343E">
            <w:pPr>
              <w:pStyle w:val="Tabletextbullets"/>
              <w:rPr>
                <w:lang w:eastAsia="en-GB"/>
              </w:rPr>
            </w:pPr>
            <w:r w:rsidRPr="008D4F82">
              <w:rPr>
                <w:lang w:eastAsia="en-GB"/>
              </w:rPr>
              <w:t xml:space="preserve">King and the peace marches of 1963 in Birmingham and Washington. </w:t>
            </w:r>
          </w:p>
          <w:p w14:paraId="69F2BA86" w14:textId="77777777" w:rsidR="008D4F82" w:rsidRPr="008D4F82" w:rsidRDefault="008D4F82" w:rsidP="00A6343E">
            <w:pPr>
              <w:pStyle w:val="Tabletextbullets"/>
              <w:rPr>
                <w:lang w:eastAsia="en-GB"/>
              </w:rPr>
            </w:pPr>
            <w:r w:rsidRPr="008D4F82">
              <w:rPr>
                <w:lang w:eastAsia="en-GB"/>
              </w:rPr>
              <w:t xml:space="preserve">Freedom </w:t>
            </w:r>
            <w:r w:rsidR="00D665E4">
              <w:rPr>
                <w:lang w:eastAsia="en-GB"/>
              </w:rPr>
              <w:t>S</w:t>
            </w:r>
            <w:r w:rsidRPr="008D4F82">
              <w:rPr>
                <w:lang w:eastAsia="en-GB"/>
              </w:rPr>
              <w:t>ummer and the Mississippi murders.</w:t>
            </w:r>
          </w:p>
          <w:p w14:paraId="1FEA992C" w14:textId="77777777" w:rsidR="00CF3D0E" w:rsidRPr="008D4F82" w:rsidRDefault="008D4F82">
            <w:pPr>
              <w:pStyle w:val="Tabletextbullets"/>
              <w:rPr>
                <w:lang w:eastAsia="en-GB"/>
              </w:rPr>
            </w:pPr>
            <w:r w:rsidRPr="008D4F82">
              <w:rPr>
                <w:lang w:eastAsia="en-GB"/>
              </w:rPr>
              <w:t xml:space="preserve">The </w:t>
            </w:r>
            <w:r w:rsidR="00B8242C">
              <w:rPr>
                <w:lang w:eastAsia="en-GB"/>
              </w:rPr>
              <w:t xml:space="preserve">impact of peaceful protest and the </w:t>
            </w:r>
            <w:r w:rsidRPr="008D4F82">
              <w:rPr>
                <w:lang w:eastAsia="en-GB"/>
              </w:rPr>
              <w:t xml:space="preserve">roles of Presidents Kennedy and Johnson </w:t>
            </w:r>
            <w:r w:rsidR="00B8242C">
              <w:rPr>
                <w:lang w:eastAsia="en-GB"/>
              </w:rPr>
              <w:t>in</w:t>
            </w:r>
            <w:r w:rsidRPr="008D4F82">
              <w:rPr>
                <w:lang w:eastAsia="en-GB"/>
              </w:rPr>
              <w:t xml:space="preserve"> the passage of the Civil Rights Act </w:t>
            </w:r>
            <w:r w:rsidR="004131F3">
              <w:rPr>
                <w:lang w:eastAsia="en-GB"/>
              </w:rPr>
              <w:t>(</w:t>
            </w:r>
            <w:r w:rsidRPr="008D4F82">
              <w:rPr>
                <w:lang w:eastAsia="en-GB"/>
              </w:rPr>
              <w:t>1964</w:t>
            </w:r>
            <w:r w:rsidR="004131F3">
              <w:rPr>
                <w:lang w:eastAsia="en-GB"/>
              </w:rPr>
              <w:t>)</w:t>
            </w:r>
            <w:r w:rsidRPr="008D4F82">
              <w:rPr>
                <w:lang w:eastAsia="en-GB"/>
              </w:rPr>
              <w:t>.</w:t>
            </w:r>
            <w:r w:rsidR="00B8242C">
              <w:rPr>
                <w:lang w:eastAsia="en-GB"/>
              </w:rPr>
              <w:t xml:space="preserve"> </w:t>
            </w:r>
            <w:r w:rsidRPr="008D4F82">
              <w:rPr>
                <w:lang w:eastAsia="en-GB"/>
              </w:rPr>
              <w:t xml:space="preserve">Selma and the Voting Rights Act </w:t>
            </w:r>
            <w:r w:rsidR="004131F3">
              <w:rPr>
                <w:lang w:eastAsia="en-GB"/>
              </w:rPr>
              <w:t>(</w:t>
            </w:r>
            <w:r w:rsidRPr="008D4F82">
              <w:rPr>
                <w:lang w:eastAsia="en-GB"/>
              </w:rPr>
              <w:t>1965</w:t>
            </w:r>
            <w:r w:rsidR="004131F3">
              <w:rPr>
                <w:lang w:eastAsia="en-GB"/>
              </w:rPr>
              <w:t>)</w:t>
            </w:r>
            <w:r w:rsidRPr="008D4F82">
              <w:rPr>
                <w:lang w:eastAsia="en-GB"/>
              </w:rPr>
              <w:t>.</w:t>
            </w:r>
          </w:p>
          <w:p w14:paraId="0602F572" w14:textId="77777777" w:rsidR="00734816" w:rsidRPr="00BF0287" w:rsidRDefault="00D421D7" w:rsidP="00BF0287">
            <w:pPr>
              <w:pStyle w:val="Tabletextbullets"/>
              <w:rPr>
                <w:b/>
                <w:i/>
              </w:rPr>
            </w:pPr>
            <w:r>
              <w:rPr>
                <w:i/>
              </w:rPr>
              <w:t xml:space="preserve">Analysis of </w:t>
            </w:r>
            <w:r w:rsidRPr="00734816">
              <w:rPr>
                <w:i/>
              </w:rPr>
              <w:t>interpretations on</w:t>
            </w:r>
            <w:r>
              <w:rPr>
                <w:i/>
              </w:rPr>
              <w:t xml:space="preserve"> the roles of Kennedy and Johnson</w:t>
            </w:r>
          </w:p>
        </w:tc>
      </w:tr>
      <w:tr w:rsidR="00734816" w:rsidRPr="002B4ED0" w14:paraId="1BDED608" w14:textId="77777777" w:rsidTr="00B8242C">
        <w:trPr>
          <w:cantSplit/>
          <w:trHeight w:val="400"/>
        </w:trPr>
        <w:tc>
          <w:tcPr>
            <w:tcW w:w="430" w:type="pct"/>
            <w:tcBorders>
              <w:top w:val="single" w:sz="4" w:space="0" w:color="999999"/>
              <w:bottom w:val="single" w:sz="4" w:space="0" w:color="999999"/>
            </w:tcBorders>
            <w:shd w:val="clear" w:color="auto" w:fill="auto"/>
          </w:tcPr>
          <w:p w14:paraId="10DBB8E9" w14:textId="77777777" w:rsidR="00734816" w:rsidRDefault="00734816" w:rsidP="00B8242C">
            <w:pPr>
              <w:pStyle w:val="textbullets"/>
              <w:numPr>
                <w:ilvl w:val="0"/>
                <w:numId w:val="0"/>
              </w:numPr>
              <w:tabs>
                <w:tab w:val="clear" w:pos="964"/>
              </w:tabs>
              <w:spacing w:before="60"/>
              <w:jc w:val="center"/>
              <w:rPr>
                <w:rFonts w:cs="Arial"/>
                <w:szCs w:val="18"/>
              </w:rPr>
            </w:pPr>
            <w:r>
              <w:rPr>
                <w:rFonts w:cs="Arial"/>
                <w:szCs w:val="18"/>
              </w:rPr>
              <w:t>7</w:t>
            </w:r>
          </w:p>
        </w:tc>
        <w:tc>
          <w:tcPr>
            <w:tcW w:w="4570" w:type="pct"/>
            <w:tcBorders>
              <w:top w:val="single" w:sz="4" w:space="0" w:color="999999"/>
              <w:bottom w:val="single" w:sz="4" w:space="0" w:color="999999"/>
            </w:tcBorders>
          </w:tcPr>
          <w:p w14:paraId="585186AE" w14:textId="77777777" w:rsidR="008D4F82" w:rsidRDefault="008D4F82" w:rsidP="00AB4BAF">
            <w:pPr>
              <w:pStyle w:val="Tablesub-head"/>
            </w:pPr>
            <w:r>
              <w:t xml:space="preserve">Key </w:t>
            </w:r>
            <w:r w:rsidR="00BE4DDC">
              <w:t xml:space="preserve">topic </w:t>
            </w:r>
            <w:r>
              <w:t>2.3 Malcolm X and Black Power, 1963-70</w:t>
            </w:r>
          </w:p>
          <w:p w14:paraId="4AA8985A" w14:textId="77777777" w:rsidR="008D4F82" w:rsidRPr="008D4F82" w:rsidRDefault="008D4F82" w:rsidP="00A6343E">
            <w:pPr>
              <w:pStyle w:val="Tabletextbullets"/>
              <w:rPr>
                <w:lang w:eastAsia="en-GB"/>
              </w:rPr>
            </w:pPr>
            <w:r w:rsidRPr="008D4F82">
              <w:rPr>
                <w:lang w:eastAsia="en-GB"/>
              </w:rPr>
              <w:t>Malcolm X, his beliefs, methods and involvement with the Black Muslims. His later change of attitude and assassination.</w:t>
            </w:r>
          </w:p>
          <w:p w14:paraId="40E9980D" w14:textId="77777777" w:rsidR="008D4F82" w:rsidRPr="008D4F82" w:rsidRDefault="008D4F82" w:rsidP="00A6343E">
            <w:pPr>
              <w:pStyle w:val="Tabletextbullets"/>
              <w:rPr>
                <w:lang w:eastAsia="en-GB"/>
              </w:rPr>
            </w:pPr>
            <w:r w:rsidRPr="008D4F82">
              <w:rPr>
                <w:lang w:eastAsia="en-GB"/>
              </w:rPr>
              <w:t>Reasons for the emergence of Black Power. The significance of Stokely Carmichael and the 1968 Mexico Olympics.</w:t>
            </w:r>
          </w:p>
          <w:p w14:paraId="5C7AFF04" w14:textId="77777777" w:rsidR="00AB4BAF" w:rsidRPr="00BF0287" w:rsidRDefault="008D4F82" w:rsidP="00BF0287">
            <w:pPr>
              <w:pStyle w:val="Tabletextbullets"/>
              <w:rPr>
                <w:lang w:eastAsia="en-GB"/>
              </w:rPr>
            </w:pPr>
            <w:r w:rsidRPr="008D4F82">
              <w:rPr>
                <w:lang w:eastAsia="en-GB"/>
              </w:rPr>
              <w:t>The methods and achievements of the Black Panther movement.</w:t>
            </w:r>
          </w:p>
          <w:p w14:paraId="7596238D" w14:textId="77777777" w:rsidR="00734816" w:rsidRPr="00AB4BAF" w:rsidRDefault="00D421D7" w:rsidP="008D4F82">
            <w:pPr>
              <w:pStyle w:val="Tabletextbullets"/>
              <w:rPr>
                <w:b/>
                <w:i/>
              </w:rPr>
            </w:pPr>
            <w:r>
              <w:rPr>
                <w:i/>
              </w:rPr>
              <w:t>Source utility</w:t>
            </w:r>
          </w:p>
        </w:tc>
      </w:tr>
      <w:tr w:rsidR="00734816" w:rsidRPr="002B4ED0" w14:paraId="2CA0B3F7" w14:textId="77777777" w:rsidTr="00B8242C">
        <w:trPr>
          <w:cantSplit/>
          <w:trHeight w:val="400"/>
        </w:trPr>
        <w:tc>
          <w:tcPr>
            <w:tcW w:w="430" w:type="pct"/>
            <w:tcBorders>
              <w:top w:val="single" w:sz="4" w:space="0" w:color="999999"/>
              <w:bottom w:val="single" w:sz="4" w:space="0" w:color="999999"/>
            </w:tcBorders>
            <w:shd w:val="clear" w:color="auto" w:fill="auto"/>
          </w:tcPr>
          <w:p w14:paraId="4EC5A37B" w14:textId="77777777" w:rsidR="00734816" w:rsidRDefault="008D4F82" w:rsidP="00B8242C">
            <w:pPr>
              <w:pStyle w:val="textbullets"/>
              <w:numPr>
                <w:ilvl w:val="0"/>
                <w:numId w:val="0"/>
              </w:numPr>
              <w:tabs>
                <w:tab w:val="clear" w:pos="964"/>
              </w:tabs>
              <w:spacing w:before="60"/>
              <w:jc w:val="center"/>
              <w:rPr>
                <w:rFonts w:cs="Arial"/>
                <w:szCs w:val="18"/>
              </w:rPr>
            </w:pPr>
            <w:r>
              <w:rPr>
                <w:rFonts w:cs="Arial"/>
                <w:szCs w:val="18"/>
              </w:rPr>
              <w:t>8</w:t>
            </w:r>
          </w:p>
        </w:tc>
        <w:tc>
          <w:tcPr>
            <w:tcW w:w="4570" w:type="pct"/>
            <w:tcBorders>
              <w:top w:val="single" w:sz="4" w:space="0" w:color="999999"/>
              <w:bottom w:val="single" w:sz="4" w:space="0" w:color="999999"/>
            </w:tcBorders>
          </w:tcPr>
          <w:p w14:paraId="0F1D96D4" w14:textId="77777777" w:rsidR="008D4F82" w:rsidRDefault="00734816" w:rsidP="00CF3D0E">
            <w:pPr>
              <w:pStyle w:val="Tablesub-head"/>
            </w:pPr>
            <w:r w:rsidRPr="00051CCB">
              <w:t xml:space="preserve">Key </w:t>
            </w:r>
            <w:r w:rsidR="00BE4DDC" w:rsidRPr="00051CCB">
              <w:t xml:space="preserve">topic </w:t>
            </w:r>
            <w:r w:rsidRPr="00051CCB">
              <w:t xml:space="preserve">2.4 </w:t>
            </w:r>
            <w:r w:rsidR="008D4F82">
              <w:t>The civil rights movement, 1965-75</w:t>
            </w:r>
          </w:p>
          <w:p w14:paraId="7D300121" w14:textId="77777777" w:rsidR="008D4F82" w:rsidRPr="008D4F82" w:rsidRDefault="008D4F82" w:rsidP="00A6343E">
            <w:pPr>
              <w:pStyle w:val="Tabletextbullets"/>
              <w:rPr>
                <w:lang w:eastAsia="en-GB"/>
              </w:rPr>
            </w:pPr>
            <w:r w:rsidRPr="008D4F82">
              <w:rPr>
                <w:lang w:eastAsia="en-GB"/>
              </w:rPr>
              <w:t>The riots of 1965–67 and the Kerner Report</w:t>
            </w:r>
            <w:r w:rsidR="00CB215A">
              <w:rPr>
                <w:lang w:eastAsia="en-GB"/>
              </w:rPr>
              <w:t xml:space="preserve"> (</w:t>
            </w:r>
            <w:r w:rsidRPr="008D4F82">
              <w:rPr>
                <w:lang w:eastAsia="en-GB"/>
              </w:rPr>
              <w:t>1968</w:t>
            </w:r>
            <w:r w:rsidR="00CB215A">
              <w:rPr>
                <w:lang w:eastAsia="en-GB"/>
              </w:rPr>
              <w:t>)</w:t>
            </w:r>
            <w:r w:rsidRPr="008D4F82">
              <w:rPr>
                <w:lang w:eastAsia="en-GB"/>
              </w:rPr>
              <w:t>.</w:t>
            </w:r>
          </w:p>
          <w:p w14:paraId="35A83F15" w14:textId="77777777" w:rsidR="008D4F82" w:rsidRPr="008D4F82" w:rsidRDefault="008D4F82" w:rsidP="00A6343E">
            <w:pPr>
              <w:pStyle w:val="Tabletextbullets"/>
              <w:rPr>
                <w:lang w:eastAsia="en-GB"/>
              </w:rPr>
            </w:pPr>
            <w:r w:rsidRPr="008D4F82">
              <w:rPr>
                <w:lang w:eastAsia="en-GB"/>
              </w:rPr>
              <w:t>King’s campaign in the North. The assassination of Martin Luther King and its impact.</w:t>
            </w:r>
          </w:p>
          <w:p w14:paraId="1288D848" w14:textId="77777777" w:rsidR="008D4F82" w:rsidRPr="008D4F82" w:rsidRDefault="008D4F82" w:rsidP="00A6343E">
            <w:pPr>
              <w:pStyle w:val="Tabletextbullets"/>
            </w:pPr>
            <w:r w:rsidRPr="008D4F82">
              <w:rPr>
                <w:lang w:eastAsia="en-GB"/>
              </w:rPr>
              <w:t>The extent of progress in civil rights by 1975.</w:t>
            </w:r>
          </w:p>
          <w:p w14:paraId="26DDF8DB" w14:textId="77777777" w:rsidR="00734816" w:rsidRPr="00E76052" w:rsidRDefault="00FB07DF" w:rsidP="008D4F82">
            <w:pPr>
              <w:pStyle w:val="Tabletextbullets"/>
              <w:rPr>
                <w:b/>
                <w:i/>
              </w:rPr>
            </w:pPr>
            <w:r>
              <w:rPr>
                <w:i/>
              </w:rPr>
              <w:t>Analysis</w:t>
            </w:r>
            <w:r w:rsidR="00E76052">
              <w:rPr>
                <w:i/>
              </w:rPr>
              <w:t xml:space="preserve"> of</w:t>
            </w:r>
            <w:r w:rsidR="00734816" w:rsidRPr="00E76052">
              <w:rPr>
                <w:i/>
              </w:rPr>
              <w:t xml:space="preserve"> interpretations on </w:t>
            </w:r>
            <w:r w:rsidR="008D4F82">
              <w:rPr>
                <w:i/>
              </w:rPr>
              <w:t>the significance of Martin Luther King</w:t>
            </w:r>
            <w:r w:rsidR="00FF1233">
              <w:rPr>
                <w:i/>
              </w:rPr>
              <w:t>'s leadership</w:t>
            </w:r>
          </w:p>
        </w:tc>
      </w:tr>
      <w:tr w:rsidR="00734816" w:rsidRPr="002B4ED0" w14:paraId="30B9EBC9" w14:textId="77777777" w:rsidTr="00B8242C">
        <w:trPr>
          <w:cantSplit/>
          <w:trHeight w:val="400"/>
        </w:trPr>
        <w:tc>
          <w:tcPr>
            <w:tcW w:w="430" w:type="pct"/>
            <w:tcBorders>
              <w:top w:val="single" w:sz="4" w:space="0" w:color="999999"/>
              <w:bottom w:val="single" w:sz="4" w:space="0" w:color="999999"/>
            </w:tcBorders>
            <w:shd w:val="clear" w:color="auto" w:fill="auto"/>
          </w:tcPr>
          <w:p w14:paraId="2C24CC5F" w14:textId="77777777" w:rsidR="00734816" w:rsidRDefault="008D4F82" w:rsidP="00B8242C">
            <w:pPr>
              <w:pStyle w:val="textbullets"/>
              <w:numPr>
                <w:ilvl w:val="0"/>
                <w:numId w:val="0"/>
              </w:numPr>
              <w:tabs>
                <w:tab w:val="clear" w:pos="964"/>
              </w:tabs>
              <w:spacing w:before="60"/>
              <w:jc w:val="center"/>
              <w:rPr>
                <w:rFonts w:cs="Arial"/>
                <w:szCs w:val="18"/>
              </w:rPr>
            </w:pPr>
            <w:r>
              <w:rPr>
                <w:rFonts w:cs="Arial"/>
                <w:szCs w:val="18"/>
              </w:rPr>
              <w:t>9</w:t>
            </w:r>
          </w:p>
        </w:tc>
        <w:tc>
          <w:tcPr>
            <w:tcW w:w="4570" w:type="pct"/>
            <w:tcBorders>
              <w:top w:val="single" w:sz="4" w:space="0" w:color="999999"/>
              <w:bottom w:val="single" w:sz="4" w:space="0" w:color="999999"/>
            </w:tcBorders>
          </w:tcPr>
          <w:p w14:paraId="1AC1107C" w14:textId="77777777" w:rsidR="00CF3D0E" w:rsidRPr="00FD42D7" w:rsidRDefault="00E76052" w:rsidP="00CF3D0E">
            <w:pPr>
              <w:pStyle w:val="Tablesub-head"/>
              <w:rPr>
                <w:szCs w:val="20"/>
              </w:rPr>
            </w:pPr>
            <w:r w:rsidRPr="00FD42D7">
              <w:rPr>
                <w:szCs w:val="20"/>
              </w:rPr>
              <w:t xml:space="preserve">Key </w:t>
            </w:r>
            <w:r w:rsidR="00BE4DDC" w:rsidRPr="00FD42D7">
              <w:rPr>
                <w:szCs w:val="20"/>
              </w:rPr>
              <w:t xml:space="preserve">topic </w:t>
            </w:r>
            <w:r w:rsidRPr="00FD42D7">
              <w:rPr>
                <w:szCs w:val="20"/>
              </w:rPr>
              <w:t xml:space="preserve">3.1 </w:t>
            </w:r>
            <w:r w:rsidR="00776E18" w:rsidRPr="00FD42D7">
              <w:rPr>
                <w:szCs w:val="20"/>
              </w:rPr>
              <w:t>Reasons for US involvement in the conflict in Vietnam, 1954-63</w:t>
            </w:r>
          </w:p>
          <w:p w14:paraId="7BA232D2" w14:textId="77777777" w:rsidR="00734816" w:rsidRDefault="00FD42D7" w:rsidP="007C49EB">
            <w:pPr>
              <w:pStyle w:val="Tabletextbullets"/>
              <w:rPr>
                <w:lang w:eastAsia="en-GB"/>
              </w:rPr>
            </w:pPr>
            <w:r w:rsidRPr="00FD42D7">
              <w:rPr>
                <w:lang w:eastAsia="en-GB"/>
              </w:rPr>
              <w:t>Reasons for greater US involvement under Eisenhower, including the domino theory and weaknesses of the Diem government.</w:t>
            </w:r>
          </w:p>
          <w:p w14:paraId="1068A5BE" w14:textId="7EE17233" w:rsidR="003D5D28" w:rsidRDefault="003D5D28" w:rsidP="007C49EB">
            <w:pPr>
              <w:pStyle w:val="Tabletextbullets"/>
              <w:rPr>
                <w:lang w:eastAsia="en-GB"/>
              </w:rPr>
            </w:pPr>
            <w:r>
              <w:rPr>
                <w:lang w:eastAsia="en-GB"/>
              </w:rPr>
              <w:t>Greater involvement under Kennedy, including the overthrow of Diem and the Strategic Hamlet Program.</w:t>
            </w:r>
          </w:p>
          <w:p w14:paraId="188490F6" w14:textId="77777777" w:rsidR="00FB07DF" w:rsidRPr="007C49EB" w:rsidRDefault="00FB07DF" w:rsidP="007C49EB">
            <w:pPr>
              <w:pStyle w:val="Tabletextbullets"/>
              <w:rPr>
                <w:lang w:eastAsia="en-GB"/>
              </w:rPr>
            </w:pPr>
            <w:r>
              <w:rPr>
                <w:i/>
              </w:rPr>
              <w:t>Making inferences from a s</w:t>
            </w:r>
            <w:r w:rsidRPr="00744F50">
              <w:rPr>
                <w:i/>
              </w:rPr>
              <w:t>ource</w:t>
            </w:r>
          </w:p>
        </w:tc>
      </w:tr>
      <w:tr w:rsidR="00734816" w:rsidRPr="002B4ED0" w14:paraId="0882E5FA" w14:textId="77777777" w:rsidTr="00B8242C">
        <w:trPr>
          <w:cantSplit/>
          <w:trHeight w:val="562"/>
        </w:trPr>
        <w:tc>
          <w:tcPr>
            <w:tcW w:w="430" w:type="pct"/>
            <w:tcBorders>
              <w:top w:val="single" w:sz="4" w:space="0" w:color="999999"/>
            </w:tcBorders>
            <w:shd w:val="clear" w:color="auto" w:fill="auto"/>
          </w:tcPr>
          <w:p w14:paraId="67973D42" w14:textId="77777777" w:rsidR="00734816" w:rsidRDefault="00734816" w:rsidP="00B8242C">
            <w:pPr>
              <w:pStyle w:val="textbullets"/>
              <w:numPr>
                <w:ilvl w:val="0"/>
                <w:numId w:val="0"/>
              </w:numPr>
              <w:spacing w:before="60"/>
              <w:jc w:val="center"/>
              <w:rPr>
                <w:rFonts w:cs="Arial"/>
                <w:szCs w:val="18"/>
              </w:rPr>
            </w:pPr>
            <w:r>
              <w:rPr>
                <w:rFonts w:cs="Arial"/>
                <w:szCs w:val="18"/>
              </w:rPr>
              <w:lastRenderedPageBreak/>
              <w:t>1</w:t>
            </w:r>
            <w:r w:rsidR="008D4F82">
              <w:rPr>
                <w:rFonts w:cs="Arial"/>
                <w:szCs w:val="18"/>
              </w:rPr>
              <w:t>0</w:t>
            </w:r>
          </w:p>
        </w:tc>
        <w:tc>
          <w:tcPr>
            <w:tcW w:w="4570" w:type="pct"/>
            <w:tcBorders>
              <w:top w:val="single" w:sz="4" w:space="0" w:color="999999"/>
            </w:tcBorders>
          </w:tcPr>
          <w:p w14:paraId="6FB1E550" w14:textId="787202D2" w:rsidR="00CF3D0E" w:rsidRPr="00FD42D7" w:rsidRDefault="00734816" w:rsidP="003D5D28">
            <w:pPr>
              <w:pStyle w:val="Tabletextbullets"/>
              <w:numPr>
                <w:ilvl w:val="0"/>
                <w:numId w:val="0"/>
              </w:numPr>
              <w:ind w:left="397" w:hanging="397"/>
              <w:rPr>
                <w:b/>
                <w:szCs w:val="20"/>
              </w:rPr>
            </w:pPr>
            <w:r w:rsidRPr="00FD42D7">
              <w:rPr>
                <w:szCs w:val="20"/>
              </w:rPr>
              <w:t xml:space="preserve">Key </w:t>
            </w:r>
            <w:r w:rsidR="00BE4DDC" w:rsidRPr="00FD42D7">
              <w:rPr>
                <w:szCs w:val="20"/>
              </w:rPr>
              <w:t xml:space="preserve">topic </w:t>
            </w:r>
            <w:r w:rsidRPr="00FD42D7">
              <w:rPr>
                <w:szCs w:val="20"/>
              </w:rPr>
              <w:t>3.2</w:t>
            </w:r>
            <w:r w:rsidR="00E76052" w:rsidRPr="00FD42D7">
              <w:rPr>
                <w:szCs w:val="20"/>
              </w:rPr>
              <w:t xml:space="preserve"> </w:t>
            </w:r>
            <w:r w:rsidR="00776E18" w:rsidRPr="00FD42D7">
              <w:rPr>
                <w:szCs w:val="20"/>
              </w:rPr>
              <w:t>Escalation of the conflict under Johnson</w:t>
            </w:r>
          </w:p>
          <w:p w14:paraId="1D9369E9" w14:textId="77777777" w:rsidR="00734816" w:rsidRDefault="00B8242C" w:rsidP="00B8242C">
            <w:pPr>
              <w:pStyle w:val="Tabletextbullets"/>
              <w:rPr>
                <w:lang w:eastAsia="en-GB"/>
              </w:rPr>
            </w:pPr>
            <w:r>
              <w:rPr>
                <w:lang w:eastAsia="en-GB"/>
              </w:rPr>
              <w:t>Reasons for the escalation of the conflict and increased US involvement in Vietnam, including t</w:t>
            </w:r>
            <w:r w:rsidR="00FD42D7" w:rsidRPr="00FD42D7">
              <w:rPr>
                <w:lang w:eastAsia="en-GB"/>
              </w:rPr>
              <w:t>he increasing threat of the Vietcong</w:t>
            </w:r>
            <w:r>
              <w:rPr>
                <w:lang w:eastAsia="en-GB"/>
              </w:rPr>
              <w:t xml:space="preserve"> and the </w:t>
            </w:r>
            <w:r w:rsidR="00FD42D7" w:rsidRPr="00FD42D7">
              <w:rPr>
                <w:lang w:eastAsia="en-GB"/>
              </w:rPr>
              <w:t>Gulf of Tonkin incident</w:t>
            </w:r>
            <w:r w:rsidR="009A1E44">
              <w:rPr>
                <w:lang w:eastAsia="en-GB"/>
              </w:rPr>
              <w:t xml:space="preserve"> (</w:t>
            </w:r>
            <w:r w:rsidR="00FD42D7" w:rsidRPr="00FD42D7">
              <w:rPr>
                <w:lang w:eastAsia="en-GB"/>
              </w:rPr>
              <w:t>1964</w:t>
            </w:r>
            <w:r w:rsidR="009A1E44">
              <w:rPr>
                <w:lang w:eastAsia="en-GB"/>
              </w:rPr>
              <w:t>)</w:t>
            </w:r>
            <w:r w:rsidR="00FD42D7" w:rsidRPr="00FD42D7">
              <w:rPr>
                <w:lang w:eastAsia="en-GB"/>
              </w:rPr>
              <w:t>.</w:t>
            </w:r>
          </w:p>
          <w:p w14:paraId="16B713E5" w14:textId="66246A07" w:rsidR="003D5D28" w:rsidRPr="00FD42D7" w:rsidRDefault="003D5D28" w:rsidP="00B8242C">
            <w:pPr>
              <w:pStyle w:val="Tabletextbullets"/>
              <w:rPr>
                <w:lang w:eastAsia="en-GB"/>
              </w:rPr>
            </w:pPr>
            <w:r w:rsidRPr="007C49EB">
              <w:rPr>
                <w:i/>
                <w:lang w:eastAsia="en-GB"/>
              </w:rPr>
              <w:t>Evaluation of interpretations on the reasons for US involvement in the conflict in Vietnam</w:t>
            </w:r>
          </w:p>
        </w:tc>
      </w:tr>
      <w:tr w:rsidR="00734816" w:rsidRPr="002B4ED0" w14:paraId="7E7FD96C" w14:textId="77777777" w:rsidTr="00B8242C">
        <w:trPr>
          <w:cantSplit/>
          <w:trHeight w:val="400"/>
        </w:trPr>
        <w:tc>
          <w:tcPr>
            <w:tcW w:w="430" w:type="pct"/>
            <w:tcBorders>
              <w:top w:val="single" w:sz="4" w:space="0" w:color="999999"/>
              <w:bottom w:val="single" w:sz="4" w:space="0" w:color="999999"/>
            </w:tcBorders>
            <w:shd w:val="clear" w:color="auto" w:fill="auto"/>
          </w:tcPr>
          <w:p w14:paraId="20BD5AA0" w14:textId="77777777" w:rsidR="00734816" w:rsidRDefault="00734816" w:rsidP="00B8242C">
            <w:pPr>
              <w:pStyle w:val="textbullets"/>
              <w:numPr>
                <w:ilvl w:val="0"/>
                <w:numId w:val="0"/>
              </w:numPr>
              <w:tabs>
                <w:tab w:val="clear" w:pos="964"/>
              </w:tabs>
              <w:spacing w:before="60"/>
              <w:jc w:val="center"/>
              <w:rPr>
                <w:rFonts w:cs="Arial"/>
                <w:szCs w:val="18"/>
              </w:rPr>
            </w:pPr>
            <w:r>
              <w:rPr>
                <w:rFonts w:cs="Arial"/>
                <w:szCs w:val="18"/>
              </w:rPr>
              <w:t>1</w:t>
            </w:r>
            <w:r w:rsidR="008D4F82">
              <w:rPr>
                <w:rFonts w:cs="Arial"/>
                <w:szCs w:val="18"/>
              </w:rPr>
              <w:t>1</w:t>
            </w:r>
          </w:p>
        </w:tc>
        <w:tc>
          <w:tcPr>
            <w:tcW w:w="4570" w:type="pct"/>
            <w:tcBorders>
              <w:top w:val="single" w:sz="4" w:space="0" w:color="999999"/>
              <w:bottom w:val="single" w:sz="4" w:space="0" w:color="999999"/>
            </w:tcBorders>
          </w:tcPr>
          <w:p w14:paraId="1B4A6573" w14:textId="77777777" w:rsidR="00CF3D0E" w:rsidRPr="00FD42D7" w:rsidRDefault="00734816" w:rsidP="00CF3D0E">
            <w:pPr>
              <w:pStyle w:val="Tablesub-head"/>
              <w:rPr>
                <w:szCs w:val="20"/>
              </w:rPr>
            </w:pPr>
            <w:r w:rsidRPr="00FD42D7">
              <w:rPr>
                <w:szCs w:val="20"/>
              </w:rPr>
              <w:t xml:space="preserve">Key </w:t>
            </w:r>
            <w:r w:rsidR="00BE4DDC" w:rsidRPr="00FD42D7">
              <w:rPr>
                <w:szCs w:val="20"/>
              </w:rPr>
              <w:t xml:space="preserve">topic </w:t>
            </w:r>
            <w:r w:rsidRPr="00FD42D7">
              <w:rPr>
                <w:szCs w:val="20"/>
              </w:rPr>
              <w:t xml:space="preserve">3.3 </w:t>
            </w:r>
            <w:r w:rsidR="00776E18" w:rsidRPr="00FD42D7">
              <w:rPr>
                <w:szCs w:val="20"/>
              </w:rPr>
              <w:t>The nature of the conflict in Vietnam, 1964-68</w:t>
            </w:r>
          </w:p>
          <w:p w14:paraId="10229E88" w14:textId="77777777" w:rsidR="00FD42D7" w:rsidRPr="00FD42D7" w:rsidRDefault="00FD42D7" w:rsidP="00A6343E">
            <w:pPr>
              <w:pStyle w:val="Tabletextbullets"/>
              <w:rPr>
                <w:lang w:eastAsia="en-GB"/>
              </w:rPr>
            </w:pPr>
            <w:r w:rsidRPr="00FD42D7">
              <w:rPr>
                <w:lang w:eastAsia="en-GB"/>
              </w:rPr>
              <w:t>The guerrilla tactics used by the Vietcong.</w:t>
            </w:r>
          </w:p>
          <w:p w14:paraId="4CE7369C" w14:textId="77777777" w:rsidR="00734816" w:rsidRDefault="00FD42D7" w:rsidP="007C49EB">
            <w:pPr>
              <w:pStyle w:val="Tabletextbullets"/>
              <w:rPr>
                <w:lang w:eastAsia="en-GB"/>
              </w:rPr>
            </w:pPr>
            <w:r w:rsidRPr="00FD42D7">
              <w:rPr>
                <w:lang w:eastAsia="en-GB"/>
              </w:rPr>
              <w:t>The methods used by the USA, including Search and Destroy,</w:t>
            </w:r>
            <w:r w:rsidR="00744F50">
              <w:rPr>
                <w:lang w:eastAsia="en-GB"/>
              </w:rPr>
              <w:t xml:space="preserve"> </w:t>
            </w:r>
            <w:r w:rsidRPr="00FD42D7">
              <w:rPr>
                <w:lang w:eastAsia="en-GB"/>
              </w:rPr>
              <w:t>Operation Rolling Thunder and chemical weapons.</w:t>
            </w:r>
          </w:p>
          <w:p w14:paraId="1B289243" w14:textId="274BABA3" w:rsidR="003D5D28" w:rsidRPr="003D5D28" w:rsidRDefault="003D5D28" w:rsidP="007C49EB">
            <w:pPr>
              <w:pStyle w:val="Tabletextbullets"/>
              <w:rPr>
                <w:i/>
                <w:iCs/>
                <w:lang w:eastAsia="en-GB"/>
              </w:rPr>
            </w:pPr>
            <w:r w:rsidRPr="003D5D28">
              <w:rPr>
                <w:i/>
                <w:iCs/>
                <w:lang w:eastAsia="en-GB"/>
              </w:rPr>
              <w:t>How and why interpretations differ</w:t>
            </w:r>
          </w:p>
        </w:tc>
      </w:tr>
      <w:tr w:rsidR="00734816" w:rsidRPr="002B4ED0" w14:paraId="6C047982" w14:textId="77777777" w:rsidTr="00B8242C">
        <w:trPr>
          <w:cantSplit/>
          <w:trHeight w:val="400"/>
        </w:trPr>
        <w:tc>
          <w:tcPr>
            <w:tcW w:w="430" w:type="pct"/>
            <w:tcBorders>
              <w:top w:val="single" w:sz="4" w:space="0" w:color="999999"/>
              <w:bottom w:val="single" w:sz="4" w:space="0" w:color="999999"/>
            </w:tcBorders>
            <w:shd w:val="clear" w:color="auto" w:fill="auto"/>
          </w:tcPr>
          <w:p w14:paraId="09C4F036" w14:textId="77777777" w:rsidR="00734816" w:rsidRDefault="00137693" w:rsidP="00B8242C">
            <w:pPr>
              <w:pStyle w:val="textbullets"/>
              <w:numPr>
                <w:ilvl w:val="0"/>
                <w:numId w:val="0"/>
              </w:numPr>
              <w:tabs>
                <w:tab w:val="clear" w:pos="964"/>
              </w:tabs>
              <w:spacing w:before="60"/>
              <w:jc w:val="center"/>
              <w:rPr>
                <w:rFonts w:cs="Arial"/>
                <w:szCs w:val="18"/>
              </w:rPr>
            </w:pPr>
            <w:r>
              <w:rPr>
                <w:rFonts w:cs="Arial"/>
                <w:szCs w:val="18"/>
              </w:rPr>
              <w:t>1</w:t>
            </w:r>
            <w:r w:rsidR="008D4F82">
              <w:rPr>
                <w:rFonts w:cs="Arial"/>
                <w:szCs w:val="18"/>
              </w:rPr>
              <w:t>2</w:t>
            </w:r>
          </w:p>
        </w:tc>
        <w:tc>
          <w:tcPr>
            <w:tcW w:w="4570" w:type="pct"/>
            <w:tcBorders>
              <w:top w:val="single" w:sz="4" w:space="0" w:color="999999"/>
              <w:bottom w:val="single" w:sz="4" w:space="0" w:color="999999"/>
            </w:tcBorders>
          </w:tcPr>
          <w:p w14:paraId="633FF15A" w14:textId="77777777" w:rsidR="007C49EB" w:rsidRPr="00FD42D7" w:rsidRDefault="007C49EB" w:rsidP="007C49EB">
            <w:pPr>
              <w:pStyle w:val="Tabletextbullets"/>
            </w:pPr>
            <w:r w:rsidRPr="00FD42D7">
              <w:rPr>
                <w:lang w:eastAsia="en-GB"/>
              </w:rPr>
              <w:t>The key features and significance of the Tet Offensive, 1968.</w:t>
            </w:r>
          </w:p>
          <w:p w14:paraId="271AEA34" w14:textId="77777777" w:rsidR="007C49EB" w:rsidRPr="007C49EB" w:rsidRDefault="00D421D7" w:rsidP="00D421D7">
            <w:pPr>
              <w:pStyle w:val="Tabletextbullets"/>
            </w:pPr>
            <w:r>
              <w:rPr>
                <w:i/>
              </w:rPr>
              <w:t>Making inferences from a s</w:t>
            </w:r>
            <w:r w:rsidR="007C49EB" w:rsidRPr="00744F50">
              <w:rPr>
                <w:i/>
              </w:rPr>
              <w:t xml:space="preserve">ource </w:t>
            </w:r>
          </w:p>
          <w:p w14:paraId="4E97A4EE" w14:textId="77777777" w:rsidR="00C4157A" w:rsidRDefault="00C4157A" w:rsidP="00CF3D0E">
            <w:pPr>
              <w:pStyle w:val="Tablesub-head"/>
              <w:rPr>
                <w:szCs w:val="20"/>
              </w:rPr>
            </w:pPr>
          </w:p>
          <w:p w14:paraId="2A9F28B6" w14:textId="77777777" w:rsidR="00CF3D0E" w:rsidRPr="00FD42D7" w:rsidRDefault="00734816" w:rsidP="00CF3D0E">
            <w:pPr>
              <w:pStyle w:val="Tablesub-head"/>
              <w:rPr>
                <w:szCs w:val="20"/>
              </w:rPr>
            </w:pPr>
            <w:r w:rsidRPr="00FD42D7">
              <w:rPr>
                <w:szCs w:val="20"/>
              </w:rPr>
              <w:t xml:space="preserve">Key </w:t>
            </w:r>
            <w:r w:rsidR="00BE4DDC" w:rsidRPr="00FD42D7">
              <w:rPr>
                <w:szCs w:val="20"/>
              </w:rPr>
              <w:t xml:space="preserve">topic </w:t>
            </w:r>
            <w:r w:rsidRPr="00FD42D7">
              <w:rPr>
                <w:szCs w:val="20"/>
              </w:rPr>
              <w:t>3.4</w:t>
            </w:r>
            <w:r w:rsidR="00776E18" w:rsidRPr="00FD42D7">
              <w:rPr>
                <w:szCs w:val="20"/>
              </w:rPr>
              <w:t xml:space="preserve"> Changes under Nixon, 1969-73</w:t>
            </w:r>
          </w:p>
          <w:p w14:paraId="36E99753" w14:textId="77777777" w:rsidR="00FD42D7" w:rsidRPr="00FD42D7" w:rsidRDefault="00FD42D7" w:rsidP="00A6343E">
            <w:pPr>
              <w:pStyle w:val="Tabletextbullets"/>
              <w:rPr>
                <w:lang w:eastAsia="en-GB"/>
              </w:rPr>
            </w:pPr>
            <w:r w:rsidRPr="00FD42D7">
              <w:rPr>
                <w:lang w:eastAsia="en-GB"/>
              </w:rPr>
              <w:t>The key features of Vietnamisation. Reasons for its failure.</w:t>
            </w:r>
          </w:p>
          <w:p w14:paraId="3A5F1063" w14:textId="77777777" w:rsidR="00734816" w:rsidRPr="00FD42D7" w:rsidRDefault="00FD42D7" w:rsidP="007C49EB">
            <w:pPr>
              <w:pStyle w:val="Tabletextbullets"/>
              <w:rPr>
                <w:lang w:eastAsia="en-GB"/>
              </w:rPr>
            </w:pPr>
            <w:r w:rsidRPr="00FD42D7">
              <w:rPr>
                <w:lang w:eastAsia="en-GB"/>
              </w:rPr>
              <w:t>The Nixon Doctrine and the withdrawal of US troops.</w:t>
            </w:r>
          </w:p>
        </w:tc>
      </w:tr>
      <w:tr w:rsidR="00734816" w:rsidRPr="002B4ED0" w14:paraId="62EE11B2" w14:textId="77777777" w:rsidTr="00B8242C">
        <w:trPr>
          <w:cantSplit/>
          <w:trHeight w:val="400"/>
        </w:trPr>
        <w:tc>
          <w:tcPr>
            <w:tcW w:w="430" w:type="pct"/>
            <w:tcBorders>
              <w:top w:val="single" w:sz="4" w:space="0" w:color="999999"/>
              <w:bottom w:val="single" w:sz="4" w:space="0" w:color="999999"/>
            </w:tcBorders>
            <w:shd w:val="clear" w:color="auto" w:fill="auto"/>
          </w:tcPr>
          <w:p w14:paraId="02B65E60" w14:textId="77777777" w:rsidR="00734816" w:rsidRDefault="00137693" w:rsidP="00B8242C">
            <w:pPr>
              <w:pStyle w:val="textbullets"/>
              <w:numPr>
                <w:ilvl w:val="0"/>
                <w:numId w:val="0"/>
              </w:numPr>
              <w:tabs>
                <w:tab w:val="clear" w:pos="964"/>
              </w:tabs>
              <w:spacing w:before="60"/>
              <w:jc w:val="center"/>
              <w:rPr>
                <w:rFonts w:cs="Arial"/>
                <w:szCs w:val="18"/>
              </w:rPr>
            </w:pPr>
            <w:r>
              <w:rPr>
                <w:rFonts w:cs="Arial"/>
                <w:szCs w:val="18"/>
              </w:rPr>
              <w:t>1</w:t>
            </w:r>
            <w:r w:rsidR="008D4F82">
              <w:rPr>
                <w:rFonts w:cs="Arial"/>
                <w:szCs w:val="18"/>
              </w:rPr>
              <w:t>3</w:t>
            </w:r>
          </w:p>
        </w:tc>
        <w:tc>
          <w:tcPr>
            <w:tcW w:w="4570" w:type="pct"/>
            <w:tcBorders>
              <w:top w:val="single" w:sz="4" w:space="0" w:color="999999"/>
              <w:bottom w:val="single" w:sz="4" w:space="0" w:color="999999"/>
            </w:tcBorders>
          </w:tcPr>
          <w:p w14:paraId="294F3CF4" w14:textId="77777777" w:rsidR="007C49EB" w:rsidRDefault="007C49EB" w:rsidP="007C49EB">
            <w:pPr>
              <w:pStyle w:val="Tabletextbullets"/>
              <w:rPr>
                <w:lang w:eastAsia="en-GB"/>
              </w:rPr>
            </w:pPr>
            <w:r w:rsidRPr="00FD42D7">
              <w:rPr>
                <w:lang w:eastAsia="en-GB"/>
              </w:rPr>
              <w:t>Attacks on Cambodia</w:t>
            </w:r>
            <w:r w:rsidR="00D5359D">
              <w:rPr>
                <w:lang w:eastAsia="en-GB"/>
              </w:rPr>
              <w:t xml:space="preserve"> (</w:t>
            </w:r>
            <w:r w:rsidRPr="00FD42D7">
              <w:rPr>
                <w:lang w:eastAsia="en-GB"/>
              </w:rPr>
              <w:t>1970</w:t>
            </w:r>
            <w:r w:rsidR="00D5359D">
              <w:rPr>
                <w:lang w:eastAsia="en-GB"/>
              </w:rPr>
              <w:t>)</w:t>
            </w:r>
            <w:r w:rsidRPr="00FD42D7">
              <w:rPr>
                <w:lang w:eastAsia="en-GB"/>
              </w:rPr>
              <w:t xml:space="preserve"> and Laos</w:t>
            </w:r>
            <w:r w:rsidR="00D5359D">
              <w:rPr>
                <w:lang w:eastAsia="en-GB"/>
              </w:rPr>
              <w:t xml:space="preserve"> (</w:t>
            </w:r>
            <w:r w:rsidRPr="00FD42D7">
              <w:rPr>
                <w:lang w:eastAsia="en-GB"/>
              </w:rPr>
              <w:t>1971</w:t>
            </w:r>
            <w:r w:rsidR="00D5359D">
              <w:rPr>
                <w:lang w:eastAsia="en-GB"/>
              </w:rPr>
              <w:t>)</w:t>
            </w:r>
            <w:r w:rsidRPr="00FD42D7">
              <w:rPr>
                <w:lang w:eastAsia="en-GB"/>
              </w:rPr>
              <w:t xml:space="preserve"> and the bombing of North Vietnam</w:t>
            </w:r>
            <w:r w:rsidR="00D5359D">
              <w:rPr>
                <w:lang w:eastAsia="en-GB"/>
              </w:rPr>
              <w:t xml:space="preserve"> (</w:t>
            </w:r>
            <w:r w:rsidRPr="00FD42D7">
              <w:rPr>
                <w:lang w:eastAsia="en-GB"/>
              </w:rPr>
              <w:t>1972</w:t>
            </w:r>
            <w:r w:rsidR="00D5359D">
              <w:rPr>
                <w:lang w:eastAsia="en-GB"/>
              </w:rPr>
              <w:t>)</w:t>
            </w:r>
            <w:r w:rsidRPr="00FD42D7">
              <w:rPr>
                <w:lang w:eastAsia="en-GB"/>
              </w:rPr>
              <w:t>.</w:t>
            </w:r>
          </w:p>
          <w:p w14:paraId="5FE21955" w14:textId="77777777" w:rsidR="007C49EB" w:rsidRDefault="007C49EB" w:rsidP="00CF3D0E">
            <w:pPr>
              <w:pStyle w:val="Tablesub-head"/>
            </w:pPr>
          </w:p>
          <w:p w14:paraId="7FF2C7AA" w14:textId="77777777" w:rsidR="00CF3D0E" w:rsidRDefault="00734816" w:rsidP="00CF3D0E">
            <w:pPr>
              <w:pStyle w:val="Tablesub-head"/>
            </w:pPr>
            <w:r w:rsidRPr="00051CCB">
              <w:t xml:space="preserve">Key </w:t>
            </w:r>
            <w:r w:rsidR="00BE4DDC" w:rsidRPr="00051CCB">
              <w:t xml:space="preserve">topic </w:t>
            </w:r>
            <w:r w:rsidRPr="00051CCB">
              <w:t xml:space="preserve">4.1 </w:t>
            </w:r>
            <w:r w:rsidR="00FF1233">
              <w:t>Opposition to the war</w:t>
            </w:r>
          </w:p>
          <w:p w14:paraId="1FE2B348" w14:textId="77777777" w:rsidR="00FD42D7" w:rsidRDefault="00FD42D7" w:rsidP="00A6343E">
            <w:pPr>
              <w:pStyle w:val="Tabletextbullets"/>
              <w:rPr>
                <w:lang w:eastAsia="en-GB"/>
              </w:rPr>
            </w:pPr>
            <w:r>
              <w:rPr>
                <w:lang w:eastAsia="en-GB"/>
              </w:rPr>
              <w:t>Reasons for the growth of opposition, including the student movement, TV and media coverage of the war and the draft system.</w:t>
            </w:r>
          </w:p>
          <w:p w14:paraId="570481A2" w14:textId="77777777" w:rsidR="00734816" w:rsidRPr="00744F50" w:rsidRDefault="00FD42D7" w:rsidP="007C49EB">
            <w:pPr>
              <w:pStyle w:val="Tabletextbullets"/>
              <w:rPr>
                <w:lang w:eastAsia="en-GB"/>
              </w:rPr>
            </w:pPr>
            <w:r>
              <w:rPr>
                <w:lang w:eastAsia="en-GB"/>
              </w:rPr>
              <w:t>Public reaction to the My Lai Massacre</w:t>
            </w:r>
            <w:r w:rsidR="006976D7">
              <w:rPr>
                <w:lang w:eastAsia="en-GB"/>
              </w:rPr>
              <w:t xml:space="preserve"> (</w:t>
            </w:r>
            <w:r>
              <w:rPr>
                <w:lang w:eastAsia="en-GB"/>
              </w:rPr>
              <w:t>1968</w:t>
            </w:r>
            <w:r w:rsidR="006976D7">
              <w:rPr>
                <w:lang w:eastAsia="en-GB"/>
              </w:rPr>
              <w:t>)</w:t>
            </w:r>
            <w:r>
              <w:rPr>
                <w:lang w:eastAsia="en-GB"/>
              </w:rPr>
              <w:t>. The trial of Lt. Calley.</w:t>
            </w:r>
          </w:p>
        </w:tc>
      </w:tr>
      <w:tr w:rsidR="00734816" w:rsidRPr="002B4ED0" w14:paraId="0DF3D1F2" w14:textId="77777777" w:rsidTr="00B8242C">
        <w:trPr>
          <w:cantSplit/>
          <w:trHeight w:val="400"/>
        </w:trPr>
        <w:tc>
          <w:tcPr>
            <w:tcW w:w="430" w:type="pct"/>
            <w:tcBorders>
              <w:top w:val="single" w:sz="4" w:space="0" w:color="999999"/>
              <w:bottom w:val="single" w:sz="4" w:space="0" w:color="999999"/>
            </w:tcBorders>
            <w:shd w:val="clear" w:color="auto" w:fill="auto"/>
          </w:tcPr>
          <w:p w14:paraId="6229BE71" w14:textId="77777777" w:rsidR="00734816" w:rsidRPr="00FD42D7" w:rsidRDefault="00137693" w:rsidP="00B8242C">
            <w:pPr>
              <w:pStyle w:val="textbullets"/>
              <w:numPr>
                <w:ilvl w:val="0"/>
                <w:numId w:val="0"/>
              </w:numPr>
              <w:tabs>
                <w:tab w:val="clear" w:pos="964"/>
              </w:tabs>
              <w:spacing w:before="60"/>
              <w:jc w:val="center"/>
              <w:rPr>
                <w:rFonts w:cs="Arial"/>
                <w:szCs w:val="20"/>
              </w:rPr>
            </w:pPr>
            <w:r w:rsidRPr="00FD42D7">
              <w:rPr>
                <w:rFonts w:cs="Arial"/>
                <w:szCs w:val="20"/>
              </w:rPr>
              <w:lastRenderedPageBreak/>
              <w:t>1</w:t>
            </w:r>
            <w:r w:rsidR="008D4F82" w:rsidRPr="00FD42D7">
              <w:rPr>
                <w:rFonts w:cs="Arial"/>
                <w:szCs w:val="20"/>
              </w:rPr>
              <w:t>4</w:t>
            </w:r>
          </w:p>
        </w:tc>
        <w:tc>
          <w:tcPr>
            <w:tcW w:w="4570" w:type="pct"/>
            <w:tcBorders>
              <w:top w:val="single" w:sz="4" w:space="0" w:color="999999"/>
              <w:bottom w:val="single" w:sz="4" w:space="0" w:color="999999"/>
            </w:tcBorders>
          </w:tcPr>
          <w:p w14:paraId="767BDAA7" w14:textId="77777777" w:rsidR="007C49EB" w:rsidRDefault="007C49EB" w:rsidP="007C49EB">
            <w:pPr>
              <w:pStyle w:val="Tabletextbullets"/>
              <w:rPr>
                <w:lang w:eastAsia="en-GB"/>
              </w:rPr>
            </w:pPr>
            <w:r>
              <w:rPr>
                <w:lang w:eastAsia="en-GB"/>
              </w:rPr>
              <w:t>The Kent State University shootings</w:t>
            </w:r>
            <w:r w:rsidR="006976D7">
              <w:rPr>
                <w:lang w:eastAsia="en-GB"/>
              </w:rPr>
              <w:t xml:space="preserve"> (</w:t>
            </w:r>
            <w:r>
              <w:rPr>
                <w:lang w:eastAsia="en-GB"/>
              </w:rPr>
              <w:t>1970</w:t>
            </w:r>
            <w:r w:rsidR="006976D7">
              <w:rPr>
                <w:lang w:eastAsia="en-GB"/>
              </w:rPr>
              <w:t>)</w:t>
            </w:r>
            <w:r>
              <w:rPr>
                <w:lang w:eastAsia="en-GB"/>
              </w:rPr>
              <w:t>.</w:t>
            </w:r>
          </w:p>
          <w:p w14:paraId="08801E33" w14:textId="77777777" w:rsidR="00FB07DF" w:rsidRPr="007C49EB" w:rsidRDefault="00FB07DF" w:rsidP="00FB07DF">
            <w:pPr>
              <w:pStyle w:val="Tabletextbullets"/>
            </w:pPr>
            <w:r>
              <w:rPr>
                <w:i/>
              </w:rPr>
              <w:t>Making inferences from a s</w:t>
            </w:r>
            <w:r w:rsidRPr="00744F50">
              <w:rPr>
                <w:i/>
              </w:rPr>
              <w:t xml:space="preserve">ource </w:t>
            </w:r>
          </w:p>
          <w:p w14:paraId="361342CD" w14:textId="77777777" w:rsidR="007C49EB" w:rsidRDefault="007C49EB" w:rsidP="00A6343E">
            <w:pPr>
              <w:pStyle w:val="Tablesub-head"/>
            </w:pPr>
          </w:p>
          <w:p w14:paraId="1BF675C3" w14:textId="77777777" w:rsidR="00734816" w:rsidRPr="00FD42D7" w:rsidRDefault="00734816" w:rsidP="00A6343E">
            <w:pPr>
              <w:pStyle w:val="Tablesub-head"/>
            </w:pPr>
            <w:r w:rsidRPr="00FD42D7">
              <w:t xml:space="preserve">Key </w:t>
            </w:r>
            <w:r w:rsidR="00BE4DDC" w:rsidRPr="00FD42D7">
              <w:t xml:space="preserve">topic </w:t>
            </w:r>
            <w:r w:rsidRPr="00FD42D7">
              <w:t xml:space="preserve">4.2 </w:t>
            </w:r>
            <w:r w:rsidR="00FF1233" w:rsidRPr="00FD42D7">
              <w:t>Support for the war</w:t>
            </w:r>
          </w:p>
          <w:p w14:paraId="591071A9" w14:textId="77777777" w:rsidR="00FD42D7" w:rsidRPr="00FD42D7" w:rsidRDefault="00FD42D7" w:rsidP="00A6343E">
            <w:pPr>
              <w:pStyle w:val="Tabletextbullets"/>
              <w:rPr>
                <w:lang w:eastAsia="en-GB"/>
              </w:rPr>
            </w:pPr>
            <w:r w:rsidRPr="00FD42D7">
              <w:rPr>
                <w:lang w:eastAsia="en-GB"/>
              </w:rPr>
              <w:t>Reasons for support for the war, including the fear of communism.</w:t>
            </w:r>
          </w:p>
          <w:p w14:paraId="66E54698" w14:textId="77777777" w:rsidR="00E76052" w:rsidRDefault="00FD42D7" w:rsidP="00744F50">
            <w:pPr>
              <w:pStyle w:val="Tabletextbullets"/>
              <w:rPr>
                <w:lang w:eastAsia="en-GB"/>
              </w:rPr>
            </w:pPr>
            <w:r w:rsidRPr="00FD42D7">
              <w:rPr>
                <w:lang w:eastAsia="en-GB"/>
              </w:rPr>
              <w:t>The ‘hard hats’ and the ‘silent majority’.</w:t>
            </w:r>
          </w:p>
          <w:p w14:paraId="04D22C22" w14:textId="77777777" w:rsidR="00734816" w:rsidRPr="00FD42D7" w:rsidRDefault="00FB07DF" w:rsidP="00CF3D0E">
            <w:pPr>
              <w:pStyle w:val="Tabletextbullets"/>
              <w:rPr>
                <w:b/>
                <w:i/>
                <w:szCs w:val="20"/>
              </w:rPr>
            </w:pPr>
            <w:r>
              <w:rPr>
                <w:i/>
                <w:szCs w:val="20"/>
              </w:rPr>
              <w:t>Evaluation</w:t>
            </w:r>
            <w:r w:rsidR="00E76052" w:rsidRPr="00FD42D7">
              <w:rPr>
                <w:i/>
                <w:szCs w:val="20"/>
              </w:rPr>
              <w:t xml:space="preserve"> of</w:t>
            </w:r>
            <w:r w:rsidR="00734816" w:rsidRPr="00FD42D7">
              <w:rPr>
                <w:i/>
                <w:szCs w:val="20"/>
              </w:rPr>
              <w:t xml:space="preserve"> interpretations on </w:t>
            </w:r>
            <w:r>
              <w:rPr>
                <w:i/>
                <w:szCs w:val="20"/>
              </w:rPr>
              <w:t xml:space="preserve">opposition and </w:t>
            </w:r>
            <w:r w:rsidR="00FF1233" w:rsidRPr="00FD42D7">
              <w:rPr>
                <w:i/>
                <w:szCs w:val="20"/>
              </w:rPr>
              <w:t>support for the war</w:t>
            </w:r>
          </w:p>
        </w:tc>
      </w:tr>
      <w:tr w:rsidR="00734816" w:rsidRPr="002B4ED0" w14:paraId="4418E08B" w14:textId="77777777" w:rsidTr="00B8242C">
        <w:trPr>
          <w:cantSplit/>
          <w:trHeight w:val="400"/>
        </w:trPr>
        <w:tc>
          <w:tcPr>
            <w:tcW w:w="430" w:type="pct"/>
            <w:tcBorders>
              <w:top w:val="single" w:sz="4" w:space="0" w:color="999999"/>
              <w:bottom w:val="single" w:sz="4" w:space="0" w:color="999999"/>
            </w:tcBorders>
            <w:shd w:val="clear" w:color="auto" w:fill="auto"/>
          </w:tcPr>
          <w:p w14:paraId="5DC9F03A" w14:textId="77777777" w:rsidR="00734816" w:rsidRDefault="00137693" w:rsidP="00B8242C">
            <w:pPr>
              <w:pStyle w:val="textbullets"/>
              <w:numPr>
                <w:ilvl w:val="0"/>
                <w:numId w:val="0"/>
              </w:numPr>
              <w:tabs>
                <w:tab w:val="clear" w:pos="964"/>
              </w:tabs>
              <w:spacing w:before="60"/>
              <w:jc w:val="center"/>
              <w:rPr>
                <w:rFonts w:cs="Arial"/>
                <w:szCs w:val="18"/>
              </w:rPr>
            </w:pPr>
            <w:r>
              <w:rPr>
                <w:rFonts w:cs="Arial"/>
                <w:szCs w:val="18"/>
              </w:rPr>
              <w:t>1</w:t>
            </w:r>
            <w:r w:rsidR="008D4F82">
              <w:rPr>
                <w:rFonts w:cs="Arial"/>
                <w:szCs w:val="18"/>
              </w:rPr>
              <w:t>5</w:t>
            </w:r>
          </w:p>
        </w:tc>
        <w:tc>
          <w:tcPr>
            <w:tcW w:w="4570" w:type="pct"/>
            <w:tcBorders>
              <w:top w:val="single" w:sz="4" w:space="0" w:color="999999"/>
              <w:bottom w:val="single" w:sz="4" w:space="0" w:color="999999"/>
            </w:tcBorders>
          </w:tcPr>
          <w:p w14:paraId="2711CD91" w14:textId="77777777" w:rsidR="00734816" w:rsidRPr="00FD42D7" w:rsidRDefault="00734816" w:rsidP="00E76052">
            <w:pPr>
              <w:pStyle w:val="Tablesub-head"/>
              <w:rPr>
                <w:szCs w:val="20"/>
              </w:rPr>
            </w:pPr>
            <w:r w:rsidRPr="00FD42D7">
              <w:rPr>
                <w:szCs w:val="20"/>
              </w:rPr>
              <w:t xml:space="preserve">Key </w:t>
            </w:r>
            <w:r w:rsidR="00BE4DDC" w:rsidRPr="00FD42D7">
              <w:rPr>
                <w:szCs w:val="20"/>
              </w:rPr>
              <w:t xml:space="preserve">topic </w:t>
            </w:r>
            <w:r w:rsidRPr="00FD42D7">
              <w:rPr>
                <w:szCs w:val="20"/>
              </w:rPr>
              <w:t xml:space="preserve">4.3 </w:t>
            </w:r>
            <w:r w:rsidR="00FF1233" w:rsidRPr="00FD42D7">
              <w:rPr>
                <w:szCs w:val="20"/>
              </w:rPr>
              <w:t>The peace process and the end of the war</w:t>
            </w:r>
          </w:p>
          <w:p w14:paraId="71080E1D" w14:textId="77777777" w:rsidR="00FD42D7" w:rsidRPr="00FD42D7" w:rsidRDefault="00FD42D7" w:rsidP="00A6343E">
            <w:pPr>
              <w:pStyle w:val="Tabletextbullets"/>
              <w:rPr>
                <w:lang w:eastAsia="en-GB"/>
              </w:rPr>
            </w:pPr>
            <w:r w:rsidRPr="00FD42D7">
              <w:rPr>
                <w:lang w:eastAsia="en-GB"/>
              </w:rPr>
              <w:t>Reasons for, and</w:t>
            </w:r>
            <w:r w:rsidR="00B8242C">
              <w:rPr>
                <w:lang w:eastAsia="en-GB"/>
              </w:rPr>
              <w:t xml:space="preserve"> key</w:t>
            </w:r>
            <w:r w:rsidRPr="00FD42D7">
              <w:rPr>
                <w:lang w:eastAsia="en-GB"/>
              </w:rPr>
              <w:t xml:space="preserve"> features of, the peace negotiations</w:t>
            </w:r>
            <w:r w:rsidR="00563AD5">
              <w:rPr>
                <w:lang w:eastAsia="en-GB"/>
              </w:rPr>
              <w:t xml:space="preserve"> (</w:t>
            </w:r>
            <w:r w:rsidRPr="00FD42D7">
              <w:rPr>
                <w:lang w:eastAsia="en-GB"/>
              </w:rPr>
              <w:t>1972–73</w:t>
            </w:r>
            <w:r w:rsidR="00563AD5">
              <w:rPr>
                <w:lang w:eastAsia="en-GB"/>
              </w:rPr>
              <w:t>)</w:t>
            </w:r>
            <w:r w:rsidRPr="00FD42D7">
              <w:rPr>
                <w:lang w:eastAsia="en-GB"/>
              </w:rPr>
              <w:t>.</w:t>
            </w:r>
          </w:p>
          <w:p w14:paraId="5D125197" w14:textId="77777777" w:rsidR="00734816" w:rsidRDefault="00FD42D7" w:rsidP="00B90B05">
            <w:pPr>
              <w:pStyle w:val="Tabletextbullets"/>
              <w:rPr>
                <w:lang w:eastAsia="en-GB"/>
              </w:rPr>
            </w:pPr>
            <w:r w:rsidRPr="00FD42D7">
              <w:rPr>
                <w:lang w:eastAsia="en-GB"/>
              </w:rPr>
              <w:t xml:space="preserve">The significance of the Paris Peace Agreement </w:t>
            </w:r>
            <w:r w:rsidR="00563AD5">
              <w:rPr>
                <w:lang w:eastAsia="en-GB"/>
              </w:rPr>
              <w:t>(</w:t>
            </w:r>
            <w:r w:rsidRPr="00FD42D7">
              <w:rPr>
                <w:lang w:eastAsia="en-GB"/>
              </w:rPr>
              <w:t>1973</w:t>
            </w:r>
            <w:r w:rsidR="00563AD5">
              <w:rPr>
                <w:lang w:eastAsia="en-GB"/>
              </w:rPr>
              <w:t>)</w:t>
            </w:r>
            <w:r w:rsidRPr="00FD42D7">
              <w:rPr>
                <w:lang w:eastAsia="en-GB"/>
              </w:rPr>
              <w:t>.</w:t>
            </w:r>
          </w:p>
          <w:p w14:paraId="22D0ECCB" w14:textId="77777777" w:rsidR="00B90B05" w:rsidRPr="00B90B05" w:rsidRDefault="00B90B05" w:rsidP="00FB07DF">
            <w:pPr>
              <w:pStyle w:val="Tabletextbullets"/>
              <w:rPr>
                <w:lang w:eastAsia="en-GB"/>
              </w:rPr>
            </w:pPr>
            <w:r>
              <w:rPr>
                <w:i/>
                <w:lang w:eastAsia="en-GB"/>
              </w:rPr>
              <w:t xml:space="preserve">Source </w:t>
            </w:r>
            <w:r w:rsidR="00FB07DF">
              <w:rPr>
                <w:i/>
                <w:lang w:eastAsia="en-GB"/>
              </w:rPr>
              <w:t>utility</w:t>
            </w:r>
          </w:p>
        </w:tc>
      </w:tr>
      <w:tr w:rsidR="00734816" w:rsidRPr="002B4ED0" w14:paraId="2A7C957F" w14:textId="77777777" w:rsidTr="00B8242C">
        <w:trPr>
          <w:cantSplit/>
          <w:trHeight w:val="400"/>
        </w:trPr>
        <w:tc>
          <w:tcPr>
            <w:tcW w:w="430" w:type="pct"/>
            <w:tcBorders>
              <w:top w:val="single" w:sz="4" w:space="0" w:color="999999"/>
              <w:bottom w:val="single" w:sz="4" w:space="0" w:color="999999"/>
            </w:tcBorders>
            <w:shd w:val="clear" w:color="auto" w:fill="auto"/>
          </w:tcPr>
          <w:p w14:paraId="096B0233" w14:textId="77777777" w:rsidR="00734816" w:rsidRDefault="00137693" w:rsidP="00B8242C">
            <w:pPr>
              <w:pStyle w:val="textbullets"/>
              <w:numPr>
                <w:ilvl w:val="0"/>
                <w:numId w:val="0"/>
              </w:numPr>
              <w:tabs>
                <w:tab w:val="clear" w:pos="964"/>
              </w:tabs>
              <w:spacing w:before="60"/>
              <w:jc w:val="center"/>
              <w:rPr>
                <w:rFonts w:cs="Arial"/>
                <w:szCs w:val="18"/>
              </w:rPr>
            </w:pPr>
            <w:r>
              <w:rPr>
                <w:rFonts w:cs="Arial"/>
                <w:szCs w:val="18"/>
              </w:rPr>
              <w:t>1</w:t>
            </w:r>
            <w:r w:rsidR="008D4F82">
              <w:rPr>
                <w:rFonts w:cs="Arial"/>
                <w:szCs w:val="18"/>
              </w:rPr>
              <w:t>6</w:t>
            </w:r>
          </w:p>
        </w:tc>
        <w:tc>
          <w:tcPr>
            <w:tcW w:w="4570" w:type="pct"/>
            <w:tcBorders>
              <w:top w:val="single" w:sz="4" w:space="0" w:color="999999"/>
              <w:bottom w:val="single" w:sz="4" w:space="0" w:color="999999"/>
            </w:tcBorders>
          </w:tcPr>
          <w:p w14:paraId="69401FDD" w14:textId="77777777" w:rsidR="00B90B05" w:rsidRPr="00FD42D7" w:rsidRDefault="00B90B05" w:rsidP="00B90B05">
            <w:pPr>
              <w:pStyle w:val="Tabletextbullets"/>
              <w:rPr>
                <w:lang w:eastAsia="en-GB"/>
              </w:rPr>
            </w:pPr>
            <w:r w:rsidRPr="00FD42D7">
              <w:rPr>
                <w:lang w:eastAsia="en-GB"/>
              </w:rPr>
              <w:t>The economic and human costs of the war for the USA.</w:t>
            </w:r>
          </w:p>
          <w:p w14:paraId="5C134A1C" w14:textId="77777777" w:rsidR="00B90B05" w:rsidRPr="00B90B05" w:rsidRDefault="00FB07DF" w:rsidP="00B90B05">
            <w:pPr>
              <w:pStyle w:val="Tabletextbullets"/>
              <w:rPr>
                <w:i/>
                <w:lang w:eastAsia="en-GB"/>
              </w:rPr>
            </w:pPr>
            <w:r>
              <w:rPr>
                <w:i/>
                <w:lang w:eastAsia="en-GB"/>
              </w:rPr>
              <w:t>Analysis</w:t>
            </w:r>
            <w:r w:rsidR="00B90B05" w:rsidRPr="00B90B05">
              <w:rPr>
                <w:i/>
                <w:lang w:eastAsia="en-GB"/>
              </w:rPr>
              <w:t xml:space="preserve"> of interpretations about the economic and human costs of the war for the USA</w:t>
            </w:r>
          </w:p>
          <w:p w14:paraId="6B0EF26E" w14:textId="77777777" w:rsidR="00B90B05" w:rsidRDefault="00B90B05" w:rsidP="00E76052">
            <w:pPr>
              <w:pStyle w:val="Tablesub-head"/>
              <w:rPr>
                <w:szCs w:val="20"/>
              </w:rPr>
            </w:pPr>
          </w:p>
          <w:p w14:paraId="37775322" w14:textId="77777777" w:rsidR="00734816" w:rsidRPr="00FD42D7" w:rsidRDefault="00734816" w:rsidP="00E76052">
            <w:pPr>
              <w:pStyle w:val="Tablesub-head"/>
              <w:rPr>
                <w:szCs w:val="20"/>
              </w:rPr>
            </w:pPr>
            <w:r w:rsidRPr="00FD42D7">
              <w:rPr>
                <w:szCs w:val="20"/>
              </w:rPr>
              <w:t xml:space="preserve">Key </w:t>
            </w:r>
            <w:r w:rsidR="00BE4DDC" w:rsidRPr="00FD42D7">
              <w:rPr>
                <w:szCs w:val="20"/>
              </w:rPr>
              <w:t xml:space="preserve">topic </w:t>
            </w:r>
            <w:r w:rsidRPr="00FD42D7">
              <w:rPr>
                <w:szCs w:val="20"/>
              </w:rPr>
              <w:t xml:space="preserve">4.4 </w:t>
            </w:r>
            <w:r w:rsidR="00FF1233" w:rsidRPr="00FD42D7">
              <w:rPr>
                <w:szCs w:val="20"/>
              </w:rPr>
              <w:t>Reasons for the failure of the USA in Vietnam</w:t>
            </w:r>
          </w:p>
          <w:p w14:paraId="77BD0BDA" w14:textId="77777777" w:rsidR="00734816" w:rsidRPr="00B90B05" w:rsidRDefault="00FD42D7" w:rsidP="00B90B05">
            <w:pPr>
              <w:pStyle w:val="Tabletextbullets"/>
              <w:rPr>
                <w:lang w:eastAsia="en-GB"/>
              </w:rPr>
            </w:pPr>
            <w:r w:rsidRPr="00FD42D7">
              <w:rPr>
                <w:lang w:eastAsia="en-GB"/>
              </w:rPr>
              <w:t>The strengths of North Vietnam, including the significance of Russian and Chinese support, Vietcong tactics and the Ho Chi</w:t>
            </w:r>
            <w:r>
              <w:rPr>
                <w:lang w:eastAsia="en-GB"/>
              </w:rPr>
              <w:t xml:space="preserve"> </w:t>
            </w:r>
            <w:r w:rsidRPr="00FD42D7">
              <w:rPr>
                <w:lang w:eastAsia="en-GB"/>
              </w:rPr>
              <w:t>Minh Trail.</w:t>
            </w:r>
          </w:p>
        </w:tc>
      </w:tr>
      <w:tr w:rsidR="008D4F82" w:rsidRPr="002B4ED0" w14:paraId="47D3211D" w14:textId="77777777" w:rsidTr="00B8242C">
        <w:trPr>
          <w:cantSplit/>
          <w:trHeight w:val="400"/>
        </w:trPr>
        <w:tc>
          <w:tcPr>
            <w:tcW w:w="430" w:type="pct"/>
            <w:tcBorders>
              <w:top w:val="single" w:sz="4" w:space="0" w:color="999999"/>
              <w:bottom w:val="single" w:sz="4" w:space="0" w:color="999999"/>
            </w:tcBorders>
            <w:shd w:val="clear" w:color="auto" w:fill="auto"/>
          </w:tcPr>
          <w:p w14:paraId="087FE0D0" w14:textId="77777777" w:rsidR="008D4F82" w:rsidRDefault="008D4F82" w:rsidP="00B8242C">
            <w:pPr>
              <w:pStyle w:val="textbullets"/>
              <w:numPr>
                <w:ilvl w:val="0"/>
                <w:numId w:val="0"/>
              </w:numPr>
              <w:tabs>
                <w:tab w:val="clear" w:pos="964"/>
              </w:tabs>
              <w:spacing w:before="60"/>
              <w:jc w:val="center"/>
              <w:rPr>
                <w:rFonts w:cs="Arial"/>
                <w:szCs w:val="18"/>
              </w:rPr>
            </w:pPr>
            <w:r>
              <w:rPr>
                <w:rFonts w:cs="Arial"/>
                <w:szCs w:val="18"/>
              </w:rPr>
              <w:t>17</w:t>
            </w:r>
          </w:p>
        </w:tc>
        <w:tc>
          <w:tcPr>
            <w:tcW w:w="4570" w:type="pct"/>
            <w:tcBorders>
              <w:top w:val="single" w:sz="4" w:space="0" w:color="999999"/>
              <w:bottom w:val="single" w:sz="4" w:space="0" w:color="999999"/>
            </w:tcBorders>
            <w:vAlign w:val="center"/>
          </w:tcPr>
          <w:p w14:paraId="2CE03D77" w14:textId="77777777" w:rsidR="00744F50" w:rsidRPr="00FD42D7" w:rsidRDefault="00744F50" w:rsidP="00744F50">
            <w:pPr>
              <w:pStyle w:val="Tabletextbullets"/>
              <w:rPr>
                <w:lang w:eastAsia="en-GB"/>
              </w:rPr>
            </w:pPr>
            <w:r w:rsidRPr="00FD42D7">
              <w:rPr>
                <w:lang w:eastAsia="en-GB"/>
              </w:rPr>
              <w:t>The weaknesses of the US armed forces. The failure of US tactics.</w:t>
            </w:r>
          </w:p>
          <w:p w14:paraId="31A2D706" w14:textId="77777777" w:rsidR="00744F50" w:rsidRDefault="00744F50" w:rsidP="00744F50">
            <w:pPr>
              <w:pStyle w:val="Tabletextbullets"/>
            </w:pPr>
            <w:r w:rsidRPr="00FD42D7">
              <w:rPr>
                <w:lang w:eastAsia="en-GB"/>
              </w:rPr>
              <w:t>The impact of opposition to the war in the USA.</w:t>
            </w:r>
          </w:p>
          <w:p w14:paraId="4F1FBE05" w14:textId="77777777" w:rsidR="00B90B05" w:rsidRPr="00FD42D7" w:rsidRDefault="00B90B05" w:rsidP="00744F50">
            <w:pPr>
              <w:pStyle w:val="Tabletextbullets"/>
            </w:pPr>
            <w:r w:rsidRPr="00744F50">
              <w:rPr>
                <w:i/>
                <w:szCs w:val="20"/>
              </w:rPr>
              <w:t xml:space="preserve">Source </w:t>
            </w:r>
            <w:r w:rsidR="00FB07DF">
              <w:rPr>
                <w:i/>
                <w:szCs w:val="20"/>
              </w:rPr>
              <w:t>utility</w:t>
            </w:r>
          </w:p>
          <w:p w14:paraId="0FC9B28A" w14:textId="77777777" w:rsidR="008D4F82" w:rsidRPr="000A3C95" w:rsidRDefault="00FB07DF" w:rsidP="00744F50">
            <w:pPr>
              <w:pStyle w:val="Tabletextbullets"/>
            </w:pPr>
            <w:r>
              <w:rPr>
                <w:i/>
                <w:szCs w:val="20"/>
              </w:rPr>
              <w:t>E</w:t>
            </w:r>
            <w:r w:rsidR="00744F50">
              <w:rPr>
                <w:i/>
                <w:szCs w:val="20"/>
              </w:rPr>
              <w:t xml:space="preserve">valuation </w:t>
            </w:r>
            <w:r w:rsidR="00744F50" w:rsidRPr="00FD42D7">
              <w:rPr>
                <w:i/>
                <w:szCs w:val="20"/>
              </w:rPr>
              <w:t xml:space="preserve">of interpretations </w:t>
            </w:r>
            <w:r w:rsidR="00744F50">
              <w:rPr>
                <w:i/>
                <w:szCs w:val="20"/>
              </w:rPr>
              <w:t xml:space="preserve">about </w:t>
            </w:r>
            <w:r w:rsidR="00744F50" w:rsidRPr="00FD42D7">
              <w:rPr>
                <w:i/>
                <w:szCs w:val="20"/>
              </w:rPr>
              <w:t>the failure of the USA in Vietnam</w:t>
            </w:r>
          </w:p>
        </w:tc>
      </w:tr>
      <w:tr w:rsidR="00734816" w:rsidRPr="002B4ED0" w14:paraId="32803FD8" w14:textId="77777777" w:rsidTr="00B8242C">
        <w:trPr>
          <w:cantSplit/>
          <w:trHeight w:val="400"/>
        </w:trPr>
        <w:tc>
          <w:tcPr>
            <w:tcW w:w="430" w:type="pct"/>
            <w:tcBorders>
              <w:top w:val="single" w:sz="4" w:space="0" w:color="999999"/>
              <w:bottom w:val="single" w:sz="4" w:space="0" w:color="999999"/>
            </w:tcBorders>
            <w:shd w:val="clear" w:color="auto" w:fill="auto"/>
          </w:tcPr>
          <w:p w14:paraId="09AA2C3B" w14:textId="77777777" w:rsidR="00734816" w:rsidRDefault="00137693" w:rsidP="00B8242C">
            <w:pPr>
              <w:pStyle w:val="textbullets"/>
              <w:numPr>
                <w:ilvl w:val="0"/>
                <w:numId w:val="0"/>
              </w:numPr>
              <w:tabs>
                <w:tab w:val="clear" w:pos="964"/>
              </w:tabs>
              <w:spacing w:before="60"/>
              <w:jc w:val="center"/>
              <w:rPr>
                <w:rFonts w:cs="Arial"/>
                <w:szCs w:val="18"/>
              </w:rPr>
            </w:pPr>
            <w:r>
              <w:rPr>
                <w:rFonts w:cs="Arial"/>
                <w:szCs w:val="18"/>
              </w:rPr>
              <w:t>18</w:t>
            </w:r>
          </w:p>
        </w:tc>
        <w:tc>
          <w:tcPr>
            <w:tcW w:w="4570" w:type="pct"/>
            <w:tcBorders>
              <w:top w:val="single" w:sz="4" w:space="0" w:color="999999"/>
              <w:bottom w:val="single" w:sz="4" w:space="0" w:color="999999"/>
            </w:tcBorders>
            <w:vAlign w:val="center"/>
          </w:tcPr>
          <w:p w14:paraId="606F8CFA" w14:textId="77777777" w:rsidR="00734816" w:rsidRPr="00744F50" w:rsidRDefault="00734816" w:rsidP="00CF3D0E">
            <w:pPr>
              <w:pStyle w:val="Tabletextbullets"/>
              <w:rPr>
                <w:i/>
              </w:rPr>
            </w:pPr>
            <w:r w:rsidRPr="00744F50">
              <w:rPr>
                <w:i/>
              </w:rPr>
              <w:t xml:space="preserve">Review and assessment of </w:t>
            </w:r>
            <w:r w:rsidR="00366A49">
              <w:rPr>
                <w:i/>
              </w:rPr>
              <w:t>t</w:t>
            </w:r>
            <w:r w:rsidR="00CF3D0E" w:rsidRPr="00744F50">
              <w:rPr>
                <w:i/>
              </w:rPr>
              <w:t>he USA, 1954-75: conflict at home and abroad</w:t>
            </w:r>
          </w:p>
        </w:tc>
      </w:tr>
    </w:tbl>
    <w:p w14:paraId="7D1DFFF5" w14:textId="77777777" w:rsidR="004F15B2" w:rsidRDefault="004F15B2" w:rsidP="00A07B51">
      <w:pPr>
        <w:pStyle w:val="text"/>
        <w:ind w:left="0"/>
      </w:pPr>
    </w:p>
    <w:sectPr w:rsidR="004F15B2" w:rsidSect="00316446">
      <w:headerReference w:type="even" r:id="rId16"/>
      <w:pgSz w:w="16840" w:h="11900" w:orient="landscape" w:code="9"/>
      <w:pgMar w:top="1418" w:right="1418" w:bottom="1418" w:left="1134"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rgValue="" wne:acdName="acd2" wne:fciIndexBasedOn="0065"/>
    <wne:acd wne:argValue=""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rgValue=""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rgValue=""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rgValue=""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rgValue=""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1893D" w14:textId="77777777" w:rsidR="00E06E8C" w:rsidRDefault="00E06E8C">
      <w:r>
        <w:separator/>
      </w:r>
    </w:p>
  </w:endnote>
  <w:endnote w:type="continuationSeparator" w:id="0">
    <w:p w14:paraId="06C6E5D5" w14:textId="77777777" w:rsidR="00E06E8C" w:rsidRDefault="00E0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yriadPro-Regular">
    <w:altName w:val="Calibri"/>
    <w:panose1 w:val="00000000000000000000"/>
    <w:charset w:val="00"/>
    <w:family w:val="auto"/>
    <w:notTrueType/>
    <w:pitch w:val="default"/>
    <w:sig w:usb0="00000003" w:usb1="00000000" w:usb2="00000000" w:usb3="00000000" w:csb0="00000001" w:csb1="00000000"/>
  </w:font>
  <w:font w:name="Myriad Pro Light">
    <w:altName w:val="Myriad Pro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Bold">
    <w:altName w:val="Verdana"/>
    <w:panose1 w:val="020B08040305040402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03BF3" w14:textId="77777777" w:rsidR="00986279" w:rsidRDefault="008A0E8E">
    <w:pPr>
      <w:pStyle w:val="Footer"/>
    </w:pPr>
    <w:r>
      <w:rPr>
        <w:noProof/>
        <w:lang w:eastAsia="en-GB"/>
      </w:rPr>
      <w:pict w14:anchorId="20471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3.15pt;margin-top:-21.75pt;width:813.55pt;height:40pt;z-index:251658240;mso-wrap-edited:f">
          <v:imagedata r:id="rId1" o:title="GCSE landscape bottom"/>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1E23" w14:textId="77777777" w:rsidR="00986279" w:rsidRDefault="008A0E8E" w:rsidP="004F2293">
    <w:r>
      <w:rPr>
        <w:noProof/>
        <w:lang w:eastAsia="en-GB"/>
      </w:rPr>
      <w:pict w14:anchorId="66919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2.25pt;margin-top:-21.25pt;width:813.55pt;height:40pt;z-index:251657216;mso-wrap-edited:f">
          <v:imagedata r:id="rId1" o:title="GCSE landscape bottom"/>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D9F1E" w14:textId="77777777" w:rsidR="00D421D7" w:rsidRDefault="00D421D7">
    <w:pPr>
      <w:pStyle w:val="Footer"/>
      <w:jc w:val="center"/>
    </w:pPr>
    <w:r>
      <w:fldChar w:fldCharType="begin"/>
    </w:r>
    <w:r>
      <w:instrText xml:space="preserve"> PAGE   \* MERGEFORMAT </w:instrText>
    </w:r>
    <w:r>
      <w:fldChar w:fldCharType="separate"/>
    </w:r>
    <w:r w:rsidR="003438DF">
      <w:rPr>
        <w:noProof/>
      </w:rPr>
      <w:t>5</w:t>
    </w:r>
    <w:r>
      <w:fldChar w:fldCharType="end"/>
    </w:r>
  </w:p>
  <w:p w14:paraId="28AE15AC" w14:textId="77777777" w:rsidR="00D421D7" w:rsidRDefault="00D421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E5C20" w14:textId="77777777" w:rsidR="00D421D7" w:rsidRDefault="00EF59E4" w:rsidP="005307FE">
    <w:pPr>
      <w:pStyle w:val="Footer"/>
    </w:pPr>
    <w:r>
      <w:t xml:space="preserve">Issue </w:t>
    </w:r>
    <w:r w:rsidR="00B8242C">
      <w:t>3</w:t>
    </w:r>
    <w:r>
      <w:t xml:space="preserve"> </w:t>
    </w:r>
    <w:r w:rsidR="00D421D7">
      <w:t>© Pearson</w:t>
    </w:r>
    <w:r>
      <w:t xml:space="preserve"> Education Ltd</w:t>
    </w:r>
    <w:r w:rsidR="00D421D7">
      <w:t xml:space="preserve"> 20</w:t>
    </w:r>
    <w:r>
      <w:t>2</w:t>
    </w:r>
    <w:r w:rsidR="00B8242C">
      <w:t>4</w:t>
    </w:r>
  </w:p>
  <w:p w14:paraId="54E10DDE" w14:textId="77777777" w:rsidR="00D421D7" w:rsidRDefault="00D421D7" w:rsidP="005307FE">
    <w:pPr>
      <w:pStyle w:val="Footer"/>
      <w:jc w:val="center"/>
    </w:pPr>
    <w:r>
      <w:fldChar w:fldCharType="begin"/>
    </w:r>
    <w:r>
      <w:instrText xml:space="preserve"> PAGE   \* MERGEFORMAT </w:instrText>
    </w:r>
    <w:r>
      <w:fldChar w:fldCharType="separate"/>
    </w:r>
    <w:r w:rsidR="009707A3">
      <w:rPr>
        <w:noProof/>
      </w:rPr>
      <w:t>1</w:t>
    </w:r>
    <w:r>
      <w:fldChar w:fldCharType="end"/>
    </w:r>
  </w:p>
  <w:p w14:paraId="58DDDA1C" w14:textId="77777777" w:rsidR="00D421D7" w:rsidRDefault="00D421D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12847" w14:textId="77777777" w:rsidR="00E06E8C" w:rsidRDefault="00E06E8C">
      <w:r>
        <w:separator/>
      </w:r>
    </w:p>
  </w:footnote>
  <w:footnote w:type="continuationSeparator" w:id="0">
    <w:p w14:paraId="4C9FD2B5" w14:textId="77777777" w:rsidR="00E06E8C" w:rsidRDefault="00E06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EF10" w14:textId="77777777" w:rsidR="00986279" w:rsidRDefault="008A0E8E">
    <w:pPr>
      <w:pStyle w:val="Header"/>
    </w:pPr>
    <w:r>
      <w:rPr>
        <w:noProof/>
      </w:rPr>
      <w:pict w14:anchorId="7C59E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56.7pt;margin-top:-28.25pt;width:845pt;height:596.4pt;z-index:-251657216;mso-wrap-edited:f">
          <v:imagedata r:id="rId1" o:title="GCSE_History_L"/>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808B7" w14:textId="77777777" w:rsidR="00986279" w:rsidRDefault="008A0E8E">
    <w:pPr>
      <w:pStyle w:val="Header"/>
    </w:pPr>
    <w:r>
      <w:rPr>
        <w:noProof/>
        <w:lang w:eastAsia="en-GB"/>
      </w:rPr>
      <w:pict w14:anchorId="61892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841.9pt;height:595.7pt;z-index:251656192;mso-wrap-edited:f;mso-position-horizontal:left;mso-position-horizontal-relative:page;mso-position-vertical:top;mso-position-vertical-relative:page">
          <v:imagedata r:id="rId1" o:title="GCSE_FrenchLscapeFCwDraftStamp"/>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C7F54" w14:textId="77777777" w:rsidR="00D421D7" w:rsidRDefault="00D421D7" w:rsidP="00007504">
    <w:pPr>
      <w:pStyle w:val="Icon"/>
      <w:framePr w:wrap="around"/>
    </w:pPr>
  </w:p>
  <w:p w14:paraId="5EADAB7B" w14:textId="77777777" w:rsidR="00D421D7" w:rsidRDefault="00D421D7" w:rsidP="00007504">
    <w:pPr>
      <w:pStyle w:val="HeaderOd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8131" w14:textId="77777777" w:rsidR="00D421D7" w:rsidRDefault="00D421D7" w:rsidP="00007504">
    <w:pPr>
      <w:pStyle w:val="IconRight"/>
      <w:framePr w:wrap="around"/>
    </w:pPr>
  </w:p>
  <w:p w14:paraId="4E521023" w14:textId="77777777" w:rsidR="00D421D7" w:rsidRDefault="00D421D7" w:rsidP="002A4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B2B6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0064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FE48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1E01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EC6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AC13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7EF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36F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C4E8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AAE2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2" w15:restartNumberingAfterBreak="0">
    <w:nsid w:val="04DE59B0"/>
    <w:multiLevelType w:val="hybridMultilevel"/>
    <w:tmpl w:val="5D62F36C"/>
    <w:lvl w:ilvl="0" w:tplc="3C004064">
      <w:start w:val="1"/>
      <w:numFmt w:val="bullet"/>
      <w:lvlText w:val=""/>
      <w:lvlJc w:val="left"/>
      <w:pPr>
        <w:ind w:left="36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6F20EE"/>
    <w:multiLevelType w:val="hybridMultilevel"/>
    <w:tmpl w:val="ECE6E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1E5D0997"/>
    <w:multiLevelType w:val="hybridMultilevel"/>
    <w:tmpl w:val="47B8E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F22BF1"/>
    <w:multiLevelType w:val="hybridMultilevel"/>
    <w:tmpl w:val="21BC9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434062"/>
    <w:multiLevelType w:val="hybridMultilevel"/>
    <w:tmpl w:val="7610C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026756"/>
    <w:multiLevelType w:val="hybridMultilevel"/>
    <w:tmpl w:val="7160EC94"/>
    <w:lvl w:ilvl="0" w:tplc="8458B106">
      <w:start w:val="1"/>
      <w:numFmt w:val="bullet"/>
      <w:lvlText w:val="●"/>
      <w:lvlJc w:val="left"/>
      <w:pPr>
        <w:tabs>
          <w:tab w:val="num" w:pos="360"/>
        </w:tabs>
        <w:ind w:left="360" w:hanging="360"/>
      </w:pPr>
      <w:rPr>
        <w:rFonts w:ascii="Verdana" w:hAnsi="Verdana" w:hint="default"/>
        <w:b w:val="0"/>
        <w:i w:val="0"/>
        <w:color w:val="auto"/>
        <w:sz w:val="16"/>
        <w:szCs w:val="16"/>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90290E"/>
    <w:multiLevelType w:val="multilevel"/>
    <w:tmpl w:val="80E43E76"/>
    <w:numStyleLink w:val="Listnum"/>
  </w:abstractNum>
  <w:abstractNum w:abstractNumId="22" w15:restartNumberingAfterBreak="0">
    <w:nsid w:val="2A634C4B"/>
    <w:multiLevelType w:val="hybridMultilevel"/>
    <w:tmpl w:val="FACAC444"/>
    <w:lvl w:ilvl="0" w:tplc="FFFFFFFF">
      <w:start w:val="1"/>
      <w:numFmt w:val="bullet"/>
      <w:pStyle w:val="Feature1textbullets"/>
      <w:lvlText w:val="●"/>
      <w:lvlJc w:val="left"/>
      <w:pPr>
        <w:tabs>
          <w:tab w:val="num" w:pos="505"/>
        </w:tabs>
        <w:ind w:left="505" w:hanging="397"/>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A81B1F"/>
    <w:multiLevelType w:val="hybridMultilevel"/>
    <w:tmpl w:val="77C2D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3F3715"/>
    <w:multiLevelType w:val="multilevel"/>
    <w:tmpl w:val="80E43E76"/>
    <w:numStyleLink w:val="Listnum"/>
  </w:abstractNum>
  <w:abstractNum w:abstractNumId="25" w15:restartNumberingAfterBreak="0">
    <w:nsid w:val="38A96603"/>
    <w:multiLevelType w:val="hybridMultilevel"/>
    <w:tmpl w:val="A0AEC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0D7980"/>
    <w:multiLevelType w:val="hybridMultilevel"/>
    <w:tmpl w:val="8DC8BE30"/>
    <w:lvl w:ilvl="0" w:tplc="48647D1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EA6604"/>
    <w:multiLevelType w:val="hybridMultilevel"/>
    <w:tmpl w:val="0BD8CC68"/>
    <w:lvl w:ilvl="0" w:tplc="48647D16">
      <w:start w:val="1"/>
      <w:numFmt w:val="bullet"/>
      <w:lvlText w:val=""/>
      <w:lvlJc w:val="left"/>
      <w:pPr>
        <w:ind w:left="36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966932"/>
    <w:multiLevelType w:val="hybridMultilevel"/>
    <w:tmpl w:val="69BE0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164966"/>
    <w:multiLevelType w:val="hybridMultilevel"/>
    <w:tmpl w:val="5A0E2A64"/>
    <w:lvl w:ilvl="0" w:tplc="48647D16">
      <w:start w:val="1"/>
      <w:numFmt w:val="bullet"/>
      <w:lvlText w:val=""/>
      <w:lvlJc w:val="left"/>
      <w:pPr>
        <w:ind w:left="664" w:hanging="360"/>
      </w:pPr>
      <w:rPr>
        <w:rFonts w:ascii="Symbol" w:hAnsi="Symbol" w:hint="default"/>
      </w:rPr>
    </w:lvl>
    <w:lvl w:ilvl="1" w:tplc="08090003" w:tentative="1">
      <w:start w:val="1"/>
      <w:numFmt w:val="bullet"/>
      <w:lvlText w:val="o"/>
      <w:lvlJc w:val="left"/>
      <w:pPr>
        <w:ind w:left="1384" w:hanging="360"/>
      </w:pPr>
      <w:rPr>
        <w:rFonts w:ascii="Courier New" w:hAnsi="Courier New" w:cs="Courier New" w:hint="default"/>
      </w:rPr>
    </w:lvl>
    <w:lvl w:ilvl="2" w:tplc="08090005" w:tentative="1">
      <w:start w:val="1"/>
      <w:numFmt w:val="bullet"/>
      <w:lvlText w:val=""/>
      <w:lvlJc w:val="left"/>
      <w:pPr>
        <w:ind w:left="2104" w:hanging="360"/>
      </w:pPr>
      <w:rPr>
        <w:rFonts w:ascii="Wingdings" w:hAnsi="Wingdings" w:hint="default"/>
      </w:rPr>
    </w:lvl>
    <w:lvl w:ilvl="3" w:tplc="08090001" w:tentative="1">
      <w:start w:val="1"/>
      <w:numFmt w:val="bullet"/>
      <w:lvlText w:val=""/>
      <w:lvlJc w:val="left"/>
      <w:pPr>
        <w:ind w:left="2824" w:hanging="360"/>
      </w:pPr>
      <w:rPr>
        <w:rFonts w:ascii="Symbol" w:hAnsi="Symbol" w:hint="default"/>
      </w:rPr>
    </w:lvl>
    <w:lvl w:ilvl="4" w:tplc="08090003" w:tentative="1">
      <w:start w:val="1"/>
      <w:numFmt w:val="bullet"/>
      <w:lvlText w:val="o"/>
      <w:lvlJc w:val="left"/>
      <w:pPr>
        <w:ind w:left="3544" w:hanging="360"/>
      </w:pPr>
      <w:rPr>
        <w:rFonts w:ascii="Courier New" w:hAnsi="Courier New" w:cs="Courier New" w:hint="default"/>
      </w:rPr>
    </w:lvl>
    <w:lvl w:ilvl="5" w:tplc="08090005" w:tentative="1">
      <w:start w:val="1"/>
      <w:numFmt w:val="bullet"/>
      <w:lvlText w:val=""/>
      <w:lvlJc w:val="left"/>
      <w:pPr>
        <w:ind w:left="4264" w:hanging="360"/>
      </w:pPr>
      <w:rPr>
        <w:rFonts w:ascii="Wingdings" w:hAnsi="Wingdings" w:hint="default"/>
      </w:rPr>
    </w:lvl>
    <w:lvl w:ilvl="6" w:tplc="08090001" w:tentative="1">
      <w:start w:val="1"/>
      <w:numFmt w:val="bullet"/>
      <w:lvlText w:val=""/>
      <w:lvlJc w:val="left"/>
      <w:pPr>
        <w:ind w:left="4984" w:hanging="360"/>
      </w:pPr>
      <w:rPr>
        <w:rFonts w:ascii="Symbol" w:hAnsi="Symbol" w:hint="default"/>
      </w:rPr>
    </w:lvl>
    <w:lvl w:ilvl="7" w:tplc="08090003" w:tentative="1">
      <w:start w:val="1"/>
      <w:numFmt w:val="bullet"/>
      <w:lvlText w:val="o"/>
      <w:lvlJc w:val="left"/>
      <w:pPr>
        <w:ind w:left="5704" w:hanging="360"/>
      </w:pPr>
      <w:rPr>
        <w:rFonts w:ascii="Courier New" w:hAnsi="Courier New" w:cs="Courier New" w:hint="default"/>
      </w:rPr>
    </w:lvl>
    <w:lvl w:ilvl="8" w:tplc="08090005" w:tentative="1">
      <w:start w:val="1"/>
      <w:numFmt w:val="bullet"/>
      <w:lvlText w:val=""/>
      <w:lvlJc w:val="left"/>
      <w:pPr>
        <w:ind w:left="6424" w:hanging="360"/>
      </w:pPr>
      <w:rPr>
        <w:rFonts w:ascii="Wingdings" w:hAnsi="Wingdings" w:hint="default"/>
      </w:rPr>
    </w:lvl>
  </w:abstractNum>
  <w:abstractNum w:abstractNumId="30" w15:restartNumberingAfterBreak="0">
    <w:nsid w:val="4C786405"/>
    <w:multiLevelType w:val="hybridMultilevel"/>
    <w:tmpl w:val="A052D274"/>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F077B4D"/>
    <w:multiLevelType w:val="hybridMultilevel"/>
    <w:tmpl w:val="300CBC1E"/>
    <w:lvl w:ilvl="0" w:tplc="48647D16">
      <w:start w:val="1"/>
      <w:numFmt w:val="decimal"/>
      <w:lvlText w:val="%1."/>
      <w:lvlJc w:val="left"/>
      <w:pPr>
        <w:ind w:left="72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2" w15:restartNumberingAfterBreak="0">
    <w:nsid w:val="5DE279B0"/>
    <w:multiLevelType w:val="multilevel"/>
    <w:tmpl w:val="29505346"/>
    <w:numStyleLink w:val="Listtable"/>
  </w:abstractNum>
  <w:abstractNum w:abstractNumId="33" w15:restartNumberingAfterBreak="0">
    <w:nsid w:val="66D24E1B"/>
    <w:multiLevelType w:val="hybridMultilevel"/>
    <w:tmpl w:val="4E86F13C"/>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97B65A6"/>
    <w:multiLevelType w:val="multilevel"/>
    <w:tmpl w:val="F43C3202"/>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0B65551"/>
    <w:multiLevelType w:val="hybridMultilevel"/>
    <w:tmpl w:val="B2C22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46464C"/>
    <w:multiLevelType w:val="hybridMultilevel"/>
    <w:tmpl w:val="B2F04BC6"/>
    <w:lvl w:ilvl="0" w:tplc="48647D1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8" w15:restartNumberingAfterBreak="0">
    <w:nsid w:val="75E357D0"/>
    <w:multiLevelType w:val="hybridMultilevel"/>
    <w:tmpl w:val="FCD06822"/>
    <w:lvl w:ilvl="0" w:tplc="48647D16">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9B4834"/>
    <w:multiLevelType w:val="hybridMultilevel"/>
    <w:tmpl w:val="73FAB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AA28BA"/>
    <w:multiLevelType w:val="hybridMultilevel"/>
    <w:tmpl w:val="DBDA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78647218">
    <w:abstractNumId w:val="41"/>
  </w:num>
  <w:num w:numId="2" w16cid:durableId="1656377401">
    <w:abstractNumId w:val="37"/>
  </w:num>
  <w:num w:numId="3" w16cid:durableId="1343512993">
    <w:abstractNumId w:val="10"/>
  </w:num>
  <w:num w:numId="4" w16cid:durableId="674646278">
    <w:abstractNumId w:val="38"/>
  </w:num>
  <w:num w:numId="5" w16cid:durableId="1098865060">
    <w:abstractNumId w:val="22"/>
  </w:num>
  <w:num w:numId="6" w16cid:durableId="731271303">
    <w:abstractNumId w:val="24"/>
  </w:num>
  <w:num w:numId="7" w16cid:durableId="384375832">
    <w:abstractNumId w:val="21"/>
  </w:num>
  <w:num w:numId="8" w16cid:durableId="2010012131">
    <w:abstractNumId w:val="34"/>
  </w:num>
  <w:num w:numId="9" w16cid:durableId="788014477">
    <w:abstractNumId w:val="15"/>
  </w:num>
  <w:num w:numId="10" w16cid:durableId="1506703431">
    <w:abstractNumId w:val="36"/>
  </w:num>
  <w:num w:numId="11" w16cid:durableId="213078154">
    <w:abstractNumId w:val="14"/>
  </w:num>
  <w:num w:numId="12" w16cid:durableId="1994948521">
    <w:abstractNumId w:val="32"/>
  </w:num>
  <w:num w:numId="13" w16cid:durableId="1197038231">
    <w:abstractNumId w:val="9"/>
  </w:num>
  <w:num w:numId="14" w16cid:durableId="175728358">
    <w:abstractNumId w:val="7"/>
  </w:num>
  <w:num w:numId="15" w16cid:durableId="1627539814">
    <w:abstractNumId w:val="6"/>
  </w:num>
  <w:num w:numId="16" w16cid:durableId="166406127">
    <w:abstractNumId w:val="5"/>
  </w:num>
  <w:num w:numId="17" w16cid:durableId="791944900">
    <w:abstractNumId w:val="4"/>
  </w:num>
  <w:num w:numId="18" w16cid:durableId="1799684904">
    <w:abstractNumId w:val="8"/>
  </w:num>
  <w:num w:numId="19" w16cid:durableId="1252471135">
    <w:abstractNumId w:val="3"/>
  </w:num>
  <w:num w:numId="20" w16cid:durableId="945578509">
    <w:abstractNumId w:val="2"/>
  </w:num>
  <w:num w:numId="21" w16cid:durableId="1441338672">
    <w:abstractNumId w:val="1"/>
  </w:num>
  <w:num w:numId="22" w16cid:durableId="439447696">
    <w:abstractNumId w:val="0"/>
  </w:num>
  <w:num w:numId="23" w16cid:durableId="44840942">
    <w:abstractNumId w:val="11"/>
  </w:num>
  <w:num w:numId="24" w16cid:durableId="1686328094">
    <w:abstractNumId w:val="16"/>
  </w:num>
  <w:num w:numId="25" w16cid:durableId="2096123936">
    <w:abstractNumId w:val="31"/>
  </w:num>
  <w:num w:numId="26" w16cid:durableId="331569001">
    <w:abstractNumId w:val="30"/>
  </w:num>
  <w:num w:numId="27" w16cid:durableId="777798229">
    <w:abstractNumId w:val="20"/>
  </w:num>
  <w:num w:numId="28" w16cid:durableId="1882670391">
    <w:abstractNumId w:val="33"/>
  </w:num>
  <w:num w:numId="29" w16cid:durableId="122702310">
    <w:abstractNumId w:val="17"/>
  </w:num>
  <w:num w:numId="30" w16cid:durableId="915355594">
    <w:abstractNumId w:val="36"/>
  </w:num>
  <w:num w:numId="31" w16cid:durableId="2062049547">
    <w:abstractNumId w:val="12"/>
  </w:num>
  <w:num w:numId="32" w16cid:durableId="1011026343">
    <w:abstractNumId w:val="29"/>
  </w:num>
  <w:num w:numId="33" w16cid:durableId="2105488562">
    <w:abstractNumId w:val="27"/>
  </w:num>
  <w:num w:numId="34" w16cid:durableId="1545290340">
    <w:abstractNumId w:val="18"/>
  </w:num>
  <w:num w:numId="35" w16cid:durableId="1156654695">
    <w:abstractNumId w:val="26"/>
  </w:num>
  <w:num w:numId="36" w16cid:durableId="60183223">
    <w:abstractNumId w:val="39"/>
  </w:num>
  <w:num w:numId="37" w16cid:durableId="95057839">
    <w:abstractNumId w:val="25"/>
  </w:num>
  <w:num w:numId="38" w16cid:durableId="1179201094">
    <w:abstractNumId w:val="13"/>
  </w:num>
  <w:num w:numId="39" w16cid:durableId="1889099017">
    <w:abstractNumId w:val="19"/>
  </w:num>
  <w:num w:numId="40" w16cid:durableId="1515848585">
    <w:abstractNumId w:val="35"/>
  </w:num>
  <w:num w:numId="41" w16cid:durableId="1398432701">
    <w:abstractNumId w:val="28"/>
  </w:num>
  <w:num w:numId="42" w16cid:durableId="84768271">
    <w:abstractNumId w:val="23"/>
  </w:num>
  <w:num w:numId="43" w16cid:durableId="2106220830">
    <w:abstractNumId w:val="40"/>
  </w:num>
  <w:num w:numId="44" w16cid:durableId="1948002690">
    <w:abstractNumId w:val="36"/>
  </w:num>
  <w:num w:numId="45" w16cid:durableId="580648961">
    <w:abstractNumId w:val="36"/>
  </w:num>
  <w:num w:numId="46" w16cid:durableId="1524587345">
    <w:abstractNumId w:val="36"/>
  </w:num>
  <w:num w:numId="47" w16cid:durableId="95293138">
    <w:abstractNumId w:val="36"/>
  </w:num>
  <w:num w:numId="48" w16cid:durableId="1122923065">
    <w:abstractNumId w:val="36"/>
  </w:num>
  <w:num w:numId="49" w16cid:durableId="1204488756">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7E55"/>
    <w:rsid w:val="00003F80"/>
    <w:rsid w:val="00007504"/>
    <w:rsid w:val="00007920"/>
    <w:rsid w:val="00037743"/>
    <w:rsid w:val="00042CA0"/>
    <w:rsid w:val="00056EC0"/>
    <w:rsid w:val="000B08A9"/>
    <w:rsid w:val="000B32B0"/>
    <w:rsid w:val="000C5C50"/>
    <w:rsid w:val="000D1FB8"/>
    <w:rsid w:val="00130940"/>
    <w:rsid w:val="00137693"/>
    <w:rsid w:val="00190A77"/>
    <w:rsid w:val="001A174D"/>
    <w:rsid w:val="001B3491"/>
    <w:rsid w:val="00212BCC"/>
    <w:rsid w:val="002229E7"/>
    <w:rsid w:val="00247625"/>
    <w:rsid w:val="00263F4D"/>
    <w:rsid w:val="00282954"/>
    <w:rsid w:val="002A21ED"/>
    <w:rsid w:val="002A4917"/>
    <w:rsid w:val="00310BC3"/>
    <w:rsid w:val="00316446"/>
    <w:rsid w:val="00324D84"/>
    <w:rsid w:val="003438DF"/>
    <w:rsid w:val="00366A49"/>
    <w:rsid w:val="00366FB9"/>
    <w:rsid w:val="00377CAC"/>
    <w:rsid w:val="00382F88"/>
    <w:rsid w:val="003A5F62"/>
    <w:rsid w:val="003B56FB"/>
    <w:rsid w:val="003D5D28"/>
    <w:rsid w:val="003E693A"/>
    <w:rsid w:val="003F2CEC"/>
    <w:rsid w:val="003F4E77"/>
    <w:rsid w:val="004131F3"/>
    <w:rsid w:val="00415D03"/>
    <w:rsid w:val="00452AAB"/>
    <w:rsid w:val="00461D34"/>
    <w:rsid w:val="00486BE7"/>
    <w:rsid w:val="004A7E9D"/>
    <w:rsid w:val="004C01BD"/>
    <w:rsid w:val="004F15B2"/>
    <w:rsid w:val="004F163A"/>
    <w:rsid w:val="004F2293"/>
    <w:rsid w:val="0051170F"/>
    <w:rsid w:val="0051233A"/>
    <w:rsid w:val="005307FE"/>
    <w:rsid w:val="00532F9E"/>
    <w:rsid w:val="00557C06"/>
    <w:rsid w:val="00563AD5"/>
    <w:rsid w:val="00580B47"/>
    <w:rsid w:val="0059686E"/>
    <w:rsid w:val="005A314F"/>
    <w:rsid w:val="005F7DE1"/>
    <w:rsid w:val="00621844"/>
    <w:rsid w:val="006328BB"/>
    <w:rsid w:val="00632C67"/>
    <w:rsid w:val="006423C2"/>
    <w:rsid w:val="0067130A"/>
    <w:rsid w:val="006976D7"/>
    <w:rsid w:val="006C399D"/>
    <w:rsid w:val="00703B16"/>
    <w:rsid w:val="00707F90"/>
    <w:rsid w:val="00734816"/>
    <w:rsid w:val="00737AA1"/>
    <w:rsid w:val="00744F50"/>
    <w:rsid w:val="0077533D"/>
    <w:rsid w:val="00776E18"/>
    <w:rsid w:val="00777AF5"/>
    <w:rsid w:val="00791717"/>
    <w:rsid w:val="007C49EB"/>
    <w:rsid w:val="007D0B85"/>
    <w:rsid w:val="007D198F"/>
    <w:rsid w:val="007E2E98"/>
    <w:rsid w:val="00805336"/>
    <w:rsid w:val="008449A7"/>
    <w:rsid w:val="0085492F"/>
    <w:rsid w:val="008567DD"/>
    <w:rsid w:val="00882486"/>
    <w:rsid w:val="00892512"/>
    <w:rsid w:val="008A0E8E"/>
    <w:rsid w:val="008A339D"/>
    <w:rsid w:val="008A3417"/>
    <w:rsid w:val="008A3601"/>
    <w:rsid w:val="008A405C"/>
    <w:rsid w:val="008B10E5"/>
    <w:rsid w:val="008C1227"/>
    <w:rsid w:val="008D3CA4"/>
    <w:rsid w:val="008D4F82"/>
    <w:rsid w:val="008E4299"/>
    <w:rsid w:val="008F0D2A"/>
    <w:rsid w:val="008F6B94"/>
    <w:rsid w:val="00900C7F"/>
    <w:rsid w:val="00912436"/>
    <w:rsid w:val="0091514E"/>
    <w:rsid w:val="0093385A"/>
    <w:rsid w:val="009707A3"/>
    <w:rsid w:val="00973A40"/>
    <w:rsid w:val="00986279"/>
    <w:rsid w:val="009910BF"/>
    <w:rsid w:val="009A1E44"/>
    <w:rsid w:val="00A010A8"/>
    <w:rsid w:val="00A07B51"/>
    <w:rsid w:val="00A22342"/>
    <w:rsid w:val="00A23C84"/>
    <w:rsid w:val="00A31AA9"/>
    <w:rsid w:val="00A42441"/>
    <w:rsid w:val="00A6343E"/>
    <w:rsid w:val="00A9252F"/>
    <w:rsid w:val="00AA68AD"/>
    <w:rsid w:val="00AB4BAF"/>
    <w:rsid w:val="00AC7311"/>
    <w:rsid w:val="00AE6EA0"/>
    <w:rsid w:val="00AE7278"/>
    <w:rsid w:val="00AF45B2"/>
    <w:rsid w:val="00B03157"/>
    <w:rsid w:val="00B174A9"/>
    <w:rsid w:val="00B8242C"/>
    <w:rsid w:val="00B84960"/>
    <w:rsid w:val="00B90B05"/>
    <w:rsid w:val="00BA3CE0"/>
    <w:rsid w:val="00BB6159"/>
    <w:rsid w:val="00BC2F81"/>
    <w:rsid w:val="00BE4DDC"/>
    <w:rsid w:val="00BF0287"/>
    <w:rsid w:val="00C4157A"/>
    <w:rsid w:val="00C420A1"/>
    <w:rsid w:val="00C508DF"/>
    <w:rsid w:val="00C90935"/>
    <w:rsid w:val="00CB215A"/>
    <w:rsid w:val="00CC5D35"/>
    <w:rsid w:val="00CE4145"/>
    <w:rsid w:val="00CE495F"/>
    <w:rsid w:val="00CF3D0E"/>
    <w:rsid w:val="00D34266"/>
    <w:rsid w:val="00D421D7"/>
    <w:rsid w:val="00D5359D"/>
    <w:rsid w:val="00D665E4"/>
    <w:rsid w:val="00D86DAD"/>
    <w:rsid w:val="00DD1B75"/>
    <w:rsid w:val="00E06E8C"/>
    <w:rsid w:val="00E15475"/>
    <w:rsid w:val="00E24ABF"/>
    <w:rsid w:val="00E301A4"/>
    <w:rsid w:val="00E656F5"/>
    <w:rsid w:val="00E6713E"/>
    <w:rsid w:val="00E76052"/>
    <w:rsid w:val="00E90A1E"/>
    <w:rsid w:val="00E91334"/>
    <w:rsid w:val="00EF233A"/>
    <w:rsid w:val="00EF59E4"/>
    <w:rsid w:val="00F37021"/>
    <w:rsid w:val="00F43D86"/>
    <w:rsid w:val="00F72321"/>
    <w:rsid w:val="00F91692"/>
    <w:rsid w:val="00FB07DF"/>
    <w:rsid w:val="00FB671C"/>
    <w:rsid w:val="00FC4911"/>
    <w:rsid w:val="00FC7D2D"/>
    <w:rsid w:val="00FD42D7"/>
    <w:rsid w:val="00FE120B"/>
    <w:rsid w:val="00FE48F5"/>
    <w:rsid w:val="00FF12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oNotEmbedSmartTags/>
  <w:decimalSymbol w:val="."/>
  <w:listSeparator w:val=","/>
  <w14:docId w14:val="49929DB9"/>
  <w15:chartTrackingRefBased/>
  <w15:docId w15:val="{DB348E7A-A8E2-488B-9841-9B9BA3570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37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rsid w:val="00731BE6"/>
    <w:pPr>
      <w:spacing w:before="260"/>
      <w:jc w:val="right"/>
    </w:pPr>
    <w:rPr>
      <w:rFonts w:ascii="Verdana" w:hAnsi="Verdana"/>
      <w:b/>
      <w:color w:val="405E64"/>
      <w:sz w:val="19"/>
      <w:szCs w:val="24"/>
      <w:lang w:eastAsia="en-US"/>
    </w:rPr>
  </w:style>
  <w:style w:type="paragraph" w:customStyle="1" w:styleId="Unithead">
    <w:name w:val="Unit head"/>
    <w:next w:val="text"/>
    <w:qFormat/>
    <w:rsid w:val="00395F49"/>
    <w:pPr>
      <w:pBdr>
        <w:top w:val="single" w:sz="8" w:space="2" w:color="827B72"/>
        <w:bottom w:val="single" w:sz="8" w:space="2" w:color="827B72"/>
      </w:pBdr>
      <w:spacing w:after="360" w:line="440" w:lineRule="exact"/>
      <w:ind w:left="28" w:right="284"/>
    </w:pPr>
    <w:rPr>
      <w:rFonts w:ascii="Verdana" w:hAnsi="Verdana"/>
      <w:b/>
      <w:color w:val="405E64"/>
      <w:sz w:val="40"/>
      <w:szCs w:val="50"/>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C07932"/>
    <w:rPr>
      <w:rFonts w:ascii="Verdana" w:hAnsi="Verdana"/>
      <w:b/>
      <w:color w:val="405E64"/>
    </w:rPr>
  </w:style>
  <w:style w:type="paragraph" w:customStyle="1" w:styleId="Ahead">
    <w:name w:val="A head"/>
    <w:next w:val="text"/>
    <w:qFormat/>
    <w:rsid w:val="00395F49"/>
    <w:pPr>
      <w:keepNext/>
      <w:pBdr>
        <w:bottom w:val="single" w:sz="8" w:space="1" w:color="827B72"/>
      </w:pBdr>
      <w:spacing w:before="120" w:after="360"/>
    </w:pPr>
    <w:rPr>
      <w:rFonts w:ascii="Verdana" w:hAnsi="Verdana"/>
      <w:b/>
      <w:color w:val="405E64"/>
      <w:sz w:val="32"/>
      <w:szCs w:val="24"/>
      <w:lang w:eastAsia="en-US"/>
    </w:rPr>
  </w:style>
  <w:style w:type="paragraph" w:customStyle="1" w:styleId="Bhead">
    <w:name w:val="B head"/>
    <w:next w:val="text"/>
    <w:qFormat/>
    <w:rsid w:val="000B4ACD"/>
    <w:pPr>
      <w:keepNext/>
      <w:spacing w:before="240" w:after="120"/>
    </w:pPr>
    <w:rPr>
      <w:rFonts w:ascii="Verdana" w:hAnsi="Verdana" w:cs="Arial"/>
      <w:b/>
      <w:color w:val="405E64"/>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link w:val="textbulletsChar"/>
    <w:qFormat/>
    <w:rsid w:val="004F33FE"/>
    <w:pPr>
      <w:numPr>
        <w:numId w:val="9"/>
      </w:numPr>
      <w:tabs>
        <w:tab w:val="clear" w:pos="397"/>
        <w:tab w:val="left" w:pos="964"/>
      </w:tabs>
      <w:spacing w:before="80" w:after="60" w:line="240" w:lineRule="atLeast"/>
      <w:ind w:left="964"/>
    </w:pPr>
    <w:rPr>
      <w:rFonts w:ascii="Verdana" w:hAnsi="Verdana"/>
      <w:szCs w:val="24"/>
      <w:lang w:eastAsia="es-ES_tradnl"/>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FF1E3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rPr>
  </w:style>
  <w:style w:type="paragraph" w:customStyle="1" w:styleId="Feature1head">
    <w:name w:val="Feature 1 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Cs w:val="24"/>
      <w:lang w:eastAsia="en-US"/>
    </w:rPr>
  </w:style>
  <w:style w:type="paragraph" w:customStyle="1" w:styleId="Feature1text">
    <w:name w:val="Feature 1 text"/>
    <w:qFormat/>
    <w:rsid w:val="00925DAB"/>
    <w:pPr>
      <w:pBdr>
        <w:top w:val="single" w:sz="4" w:space="2" w:color="405E64"/>
        <w:left w:val="single" w:sz="4" w:space="4" w:color="405E64"/>
        <w:bottom w:val="single" w:sz="4" w:space="2" w:color="405E64"/>
        <w:right w:val="single" w:sz="4" w:space="4" w:color="405E64"/>
      </w:pBdr>
      <w:shd w:val="clear" w:color="auto" w:fill="E6E6E6"/>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925DAB"/>
    <w:pPr>
      <w:numPr>
        <w:numId w:val="5"/>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925DAB"/>
    <w:pPr>
      <w:numPr>
        <w:numId w:val="8"/>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FF1E30"/>
    <w:pPr>
      <w:pBdr>
        <w:top w:val="single" w:sz="4" w:space="2" w:color="405E64"/>
        <w:left w:val="single" w:sz="4" w:space="4" w:color="405E64"/>
        <w:bottom w:val="single" w:sz="4" w:space="2" w:color="405E64"/>
        <w:right w:val="single" w:sz="4" w:space="4" w:color="405E64"/>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FF1E30"/>
    <w:pPr>
      <w:numPr>
        <w:numId w:val="4"/>
      </w:numPr>
      <w:pBdr>
        <w:top w:val="single" w:sz="4" w:space="2" w:color="405E64"/>
        <w:left w:val="single" w:sz="4" w:space="4" w:color="405E64"/>
        <w:bottom w:val="single" w:sz="4" w:space="2" w:color="405E64"/>
        <w:right w:val="single" w:sz="4" w:space="4" w:color="405E64"/>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FF1E30"/>
    <w:pPr>
      <w:numPr>
        <w:numId w:val="6"/>
      </w:numPr>
      <w:pBdr>
        <w:top w:val="single" w:sz="4" w:space="2" w:color="405E64"/>
        <w:left w:val="single" w:sz="4" w:space="4" w:color="405E64"/>
        <w:bottom w:val="single" w:sz="4" w:space="2" w:color="405E64"/>
        <w:right w:val="single" w:sz="4" w:space="4" w:color="405E64"/>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747747"/>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tblStylePr w:type="firstRow">
      <w:tblPr/>
      <w:tcPr>
        <w:tcBorders>
          <w:top w:val="single" w:sz="4" w:space="0" w:color="405E64"/>
          <w:left w:val="single" w:sz="4" w:space="0" w:color="405E64"/>
          <w:bottom w:val="single" w:sz="4" w:space="0" w:color="405E64"/>
          <w:right w:val="single" w:sz="4" w:space="0" w:color="405E64"/>
          <w:insideH w:val="single" w:sz="4" w:space="0" w:color="405E64"/>
          <w:insideV w:val="single" w:sz="4" w:space="0" w:color="405E64"/>
          <w:tl2br w:val="nil"/>
          <w:tr2bl w:val="nil"/>
        </w:tcBorders>
        <w:shd w:val="clear" w:color="auto" w:fill="DBE3E6"/>
      </w:tcPr>
    </w:tblStylePr>
  </w:style>
  <w:style w:type="table" w:customStyle="1" w:styleId="Table4">
    <w:name w:val="Table 4"/>
    <w:basedOn w:val="TableNormal"/>
    <w:rsid w:val="00C823A0"/>
    <w:rPr>
      <w:rFonts w:ascii="Verdana" w:hAnsi="Verdana"/>
    </w:rPr>
    <w:tblPr>
      <w:tblInd w:w="108" w:type="dxa"/>
      <w:tblBorders>
        <w:top w:val="single" w:sz="4" w:space="0" w:color="828172"/>
        <w:left w:val="single" w:sz="4" w:space="0" w:color="828172"/>
        <w:bottom w:val="single" w:sz="4" w:space="0" w:color="828172"/>
        <w:right w:val="single" w:sz="4" w:space="0" w:color="828172"/>
        <w:insideH w:val="single" w:sz="4" w:space="0" w:color="828172"/>
        <w:insideV w:val="single" w:sz="4" w:space="0" w:color="828172"/>
      </w:tblBorders>
    </w:tblPr>
    <w:tblStylePr w:type="firstRow">
      <w:rPr>
        <w:color w:val="FFFFFF"/>
      </w:rPr>
      <w:tblPr/>
      <w:tcPr>
        <w:tcBorders>
          <w:top w:val="single" w:sz="4" w:space="0" w:color="828172"/>
          <w:left w:val="single" w:sz="4" w:space="0" w:color="828172"/>
          <w:bottom w:val="single" w:sz="4" w:space="0" w:color="828172"/>
          <w:right w:val="single" w:sz="4" w:space="0" w:color="828172"/>
          <w:insideH w:val="single" w:sz="4" w:space="0" w:color="828172"/>
          <w:insideV w:val="single" w:sz="4" w:space="0" w:color="828172"/>
          <w:tl2br w:val="nil"/>
          <w:tr2bl w:val="nil"/>
        </w:tcBorders>
        <w:shd w:val="clear" w:color="auto" w:fill="405E64"/>
      </w:tcPr>
    </w:tblStylePr>
    <w:tblStylePr w:type="firstCol">
      <w:rPr>
        <w:color w:val="FFFFFF"/>
      </w:rPr>
      <w:tblPr/>
      <w:tcPr>
        <w:tcBorders>
          <w:top w:val="single" w:sz="4" w:space="0" w:color="DBE3E6"/>
          <w:left w:val="single" w:sz="4" w:space="0" w:color="DBE3E6"/>
          <w:bottom w:val="single" w:sz="4" w:space="0" w:color="DBE3E6"/>
          <w:right w:val="single" w:sz="4" w:space="0" w:color="DBE3E6"/>
          <w:insideH w:val="nil"/>
          <w:insideV w:val="nil"/>
          <w:tl2br w:val="nil"/>
          <w:tr2bl w:val="nil"/>
        </w:tcBorders>
        <w:shd w:val="clear" w:color="auto" w:fill="405E64"/>
      </w:tcPr>
    </w:tblStylePr>
  </w:style>
  <w:style w:type="table" w:customStyle="1" w:styleId="Table3">
    <w:name w:val="Table 3"/>
    <w:basedOn w:val="TableNormal"/>
    <w:rsid w:val="00145959"/>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3E6"/>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405E64"/>
      </w:tcPr>
    </w:tblStylePr>
  </w:style>
  <w:style w:type="paragraph" w:customStyle="1" w:styleId="HeaderOdd">
    <w:name w:val="Header Odd"/>
    <w:basedOn w:val="Header"/>
    <w:rsid w:val="00731BE6"/>
    <w:pPr>
      <w:jc w:val="left"/>
    </w:pPr>
  </w:style>
  <w:style w:type="paragraph" w:customStyle="1" w:styleId="IconRight">
    <w:name w:val="IconRight"/>
    <w:basedOn w:val="Normal"/>
    <w:rsid w:val="00E37DA2"/>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702D66"/>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E94D68"/>
    <w:pPr>
      <w:pBdr>
        <w:bottom w:val="single" w:sz="12" w:space="1" w:color="405E64"/>
      </w:pBdr>
      <w:shd w:val="clear" w:color="auto" w:fill="405E64"/>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C30CCD"/>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A44494"/>
    <w:pPr>
      <w:framePr w:w="1429" w:h="907" w:hSpace="2268" w:wrap="around" w:vAnchor="page" w:hAnchor="page" w:xAlign="outside" w:y="313"/>
    </w:pPr>
    <w:rPr>
      <w:sz w:val="24"/>
      <w:szCs w:val="24"/>
      <w:lang w:eastAsia="en-US"/>
    </w:rPr>
  </w:style>
  <w:style w:type="paragraph" w:customStyle="1" w:styleId="Sourcetext">
    <w:name w:val="Source text"/>
    <w:basedOn w:val="Normal"/>
    <w:qFormat/>
    <w:rsid w:val="00A30534"/>
    <w:pPr>
      <w:autoSpaceDE w:val="0"/>
      <w:autoSpaceDN w:val="0"/>
      <w:adjustRightInd w:val="0"/>
      <w:spacing w:before="120" w:after="120"/>
    </w:pPr>
    <w:rPr>
      <w:rFonts w:ascii="Verdana" w:hAnsi="Verdana" w:cs="MyriadPro-Regular"/>
      <w:i/>
      <w:sz w:val="20"/>
      <w:szCs w:val="20"/>
      <w:lang w:eastAsia="en-GB"/>
    </w:rPr>
  </w:style>
  <w:style w:type="paragraph" w:customStyle="1" w:styleId="tabletexthd">
    <w:name w:val="table text hd"/>
    <w:rsid w:val="0010147D"/>
    <w:pPr>
      <w:spacing w:before="120" w:after="60" w:line="260" w:lineRule="atLeast"/>
    </w:pPr>
    <w:rPr>
      <w:rFonts w:ascii="Verdana" w:hAnsi="Verdana"/>
      <w:b/>
      <w:color w:val="FFFFFF"/>
      <w:szCs w:val="22"/>
      <w:lang w:eastAsia="en-US"/>
    </w:rPr>
  </w:style>
  <w:style w:type="character" w:customStyle="1" w:styleId="textbulletsChar">
    <w:name w:val="text bullets Char"/>
    <w:link w:val="textbullets"/>
    <w:rsid w:val="0010147D"/>
    <w:rPr>
      <w:rFonts w:ascii="Verdana" w:hAnsi="Verdana"/>
      <w:szCs w:val="24"/>
      <w:lang w:val="en-GB" w:bidi="ar-SA"/>
    </w:rPr>
  </w:style>
  <w:style w:type="paragraph" w:customStyle="1" w:styleId="text-bold">
    <w:name w:val="text-bold"/>
    <w:basedOn w:val="text"/>
    <w:next w:val="text"/>
    <w:rsid w:val="0010147D"/>
    <w:pPr>
      <w:spacing w:before="60" w:line="260" w:lineRule="exact"/>
      <w:ind w:left="0"/>
    </w:pPr>
    <w:rPr>
      <w:rFonts w:cs="Times New Roman"/>
      <w:b/>
      <w:color w:val="000000"/>
      <w:sz w:val="18"/>
      <w:szCs w:val="20"/>
    </w:rPr>
  </w:style>
  <w:style w:type="paragraph" w:styleId="ListNumber">
    <w:name w:val="List Number"/>
    <w:basedOn w:val="Normal"/>
    <w:rsid w:val="0010147D"/>
    <w:pPr>
      <w:tabs>
        <w:tab w:val="num" w:pos="360"/>
      </w:tabs>
      <w:spacing w:line="260" w:lineRule="atLeast"/>
      <w:ind w:left="360" w:hanging="360"/>
    </w:pPr>
    <w:rPr>
      <w:rFonts w:ascii="Verdana" w:hAnsi="Verdana"/>
      <w:sz w:val="18"/>
      <w:szCs w:val="20"/>
    </w:rPr>
  </w:style>
  <w:style w:type="paragraph" w:customStyle="1" w:styleId="Pa8">
    <w:name w:val="Pa8"/>
    <w:basedOn w:val="Normal"/>
    <w:next w:val="Normal"/>
    <w:uiPriority w:val="99"/>
    <w:rsid w:val="00377CAC"/>
    <w:pPr>
      <w:autoSpaceDE w:val="0"/>
      <w:autoSpaceDN w:val="0"/>
      <w:adjustRightInd w:val="0"/>
      <w:spacing w:line="201" w:lineRule="atLeast"/>
    </w:pPr>
    <w:rPr>
      <w:rFonts w:ascii="Myriad Pro Light" w:eastAsia="Calibri" w:hAnsi="Myriad Pro Light"/>
    </w:rPr>
  </w:style>
  <w:style w:type="character" w:styleId="CommentReference">
    <w:name w:val="annotation reference"/>
    <w:uiPriority w:val="99"/>
    <w:rsid w:val="003E693A"/>
    <w:rPr>
      <w:sz w:val="16"/>
      <w:szCs w:val="16"/>
    </w:rPr>
  </w:style>
  <w:style w:type="paragraph" w:styleId="CommentText">
    <w:name w:val="annotation text"/>
    <w:basedOn w:val="Normal"/>
    <w:link w:val="CommentTextChar"/>
    <w:uiPriority w:val="99"/>
    <w:rsid w:val="003E693A"/>
    <w:rPr>
      <w:sz w:val="20"/>
      <w:szCs w:val="20"/>
    </w:rPr>
  </w:style>
  <w:style w:type="character" w:customStyle="1" w:styleId="CommentTextChar">
    <w:name w:val="Comment Text Char"/>
    <w:link w:val="CommentText"/>
    <w:uiPriority w:val="99"/>
    <w:rsid w:val="003E693A"/>
    <w:rPr>
      <w:lang w:eastAsia="en-US"/>
    </w:rPr>
  </w:style>
  <w:style w:type="paragraph" w:styleId="CommentSubject">
    <w:name w:val="annotation subject"/>
    <w:basedOn w:val="CommentText"/>
    <w:next w:val="CommentText"/>
    <w:link w:val="CommentSubjectChar"/>
    <w:uiPriority w:val="99"/>
    <w:rsid w:val="003E693A"/>
    <w:rPr>
      <w:b/>
      <w:bCs/>
    </w:rPr>
  </w:style>
  <w:style w:type="character" w:customStyle="1" w:styleId="CommentSubjectChar">
    <w:name w:val="Comment Subject Char"/>
    <w:link w:val="CommentSubject"/>
    <w:uiPriority w:val="99"/>
    <w:rsid w:val="003E693A"/>
    <w:rPr>
      <w:b/>
      <w:bCs/>
      <w:lang w:eastAsia="en-US"/>
    </w:rPr>
  </w:style>
  <w:style w:type="paragraph" w:styleId="BalloonText">
    <w:name w:val="Balloon Text"/>
    <w:basedOn w:val="Normal"/>
    <w:link w:val="BalloonTextChar"/>
    <w:rsid w:val="003E693A"/>
    <w:rPr>
      <w:rFonts w:ascii="Tahoma" w:hAnsi="Tahoma" w:cs="Tahoma"/>
      <w:sz w:val="16"/>
      <w:szCs w:val="16"/>
    </w:rPr>
  </w:style>
  <w:style w:type="character" w:customStyle="1" w:styleId="BalloonTextChar">
    <w:name w:val="Balloon Text Char"/>
    <w:link w:val="BalloonText"/>
    <w:rsid w:val="003E693A"/>
    <w:rPr>
      <w:rFonts w:ascii="Tahoma" w:hAnsi="Tahoma" w:cs="Tahoma"/>
      <w:sz w:val="16"/>
      <w:szCs w:val="16"/>
      <w:lang w:eastAsia="en-US"/>
    </w:rPr>
  </w:style>
  <w:style w:type="paragraph" w:customStyle="1" w:styleId="Text0">
    <w:name w:val="Text"/>
    <w:basedOn w:val="Normal"/>
    <w:link w:val="TextChar"/>
    <w:rsid w:val="003F4E77"/>
    <w:pPr>
      <w:spacing w:before="40" w:after="40" w:line="200" w:lineRule="atLeast"/>
    </w:pPr>
    <w:rPr>
      <w:rFonts w:ascii="Trebuchet MS" w:eastAsia="Calibri" w:hAnsi="Trebuchet MS" w:cs="Trebuchet MS"/>
      <w:sz w:val="16"/>
      <w:szCs w:val="16"/>
    </w:rPr>
  </w:style>
  <w:style w:type="character" w:customStyle="1" w:styleId="TextChar">
    <w:name w:val="Text Char"/>
    <w:link w:val="Text0"/>
    <w:locked/>
    <w:rsid w:val="003F4E77"/>
    <w:rPr>
      <w:rFonts w:ascii="Trebuchet MS" w:eastAsia="Calibri" w:hAnsi="Trebuchet MS" w:cs="Trebuchet MS"/>
      <w:sz w:val="16"/>
      <w:szCs w:val="16"/>
      <w:lang w:eastAsia="en-US"/>
    </w:rPr>
  </w:style>
  <w:style w:type="character" w:customStyle="1" w:styleId="FooterChar">
    <w:name w:val="Footer Char"/>
    <w:link w:val="Footer"/>
    <w:locked/>
    <w:rsid w:val="003F4E77"/>
    <w:rPr>
      <w:rFonts w:ascii="Verdana" w:hAnsi="Verdana"/>
      <w:sz w:val="14"/>
      <w:szCs w:val="24"/>
      <w:lang w:val="en-GB" w:eastAsia="en-US" w:bidi="ar-SA"/>
    </w:rPr>
  </w:style>
  <w:style w:type="paragraph" w:customStyle="1" w:styleId="guideheadB">
    <w:name w:val="guide head B"/>
    <w:next w:val="Text0"/>
    <w:rsid w:val="008567DD"/>
    <w:pPr>
      <w:pBdr>
        <w:top w:val="single" w:sz="12" w:space="3" w:color="AACAE6"/>
        <w:bottom w:val="single" w:sz="12" w:space="3" w:color="AACAE6"/>
      </w:pBdr>
      <w:spacing w:before="300" w:after="120" w:line="300" w:lineRule="atLeast"/>
    </w:pPr>
    <w:rPr>
      <w:rFonts w:ascii="Verdana" w:hAnsi="Verdana"/>
      <w:b/>
      <w:sz w:val="32"/>
      <w:szCs w:val="24"/>
      <w:lang w:eastAsia="en-US"/>
    </w:rPr>
  </w:style>
  <w:style w:type="paragraph" w:customStyle="1" w:styleId="textindented">
    <w:name w:val="text indented"/>
    <w:next w:val="Normal"/>
    <w:uiPriority w:val="99"/>
    <w:rsid w:val="008567DD"/>
    <w:pPr>
      <w:spacing w:before="60" w:after="60" w:line="260" w:lineRule="atLeast"/>
      <w:ind w:left="357" w:hanging="357"/>
    </w:pPr>
    <w:rPr>
      <w:rFonts w:ascii="Verdana" w:hAnsi="Verdana"/>
      <w:color w:val="000000"/>
      <w:szCs w:val="22"/>
    </w:rPr>
  </w:style>
  <w:style w:type="character" w:customStyle="1" w:styleId="apple-converted-space">
    <w:name w:val="apple-converted-space"/>
    <w:basedOn w:val="DefaultParagraphFont"/>
    <w:rsid w:val="00F72321"/>
  </w:style>
  <w:style w:type="character" w:customStyle="1" w:styleId="HeaderChar">
    <w:name w:val="Header Char"/>
    <w:link w:val="Header"/>
    <w:rsid w:val="00986279"/>
    <w:rPr>
      <w:rFonts w:ascii="Verdana" w:hAnsi="Verdana"/>
      <w:b/>
      <w:color w:val="405E64"/>
      <w:sz w:val="19"/>
      <w:szCs w:val="24"/>
      <w:lang w:val="en-GB" w:eastAsia="en-US" w:bidi="ar-SA"/>
    </w:rPr>
  </w:style>
  <w:style w:type="paragraph" w:customStyle="1" w:styleId="Bodytext">
    <w:name w:val="Body text"/>
    <w:qFormat/>
    <w:rsid w:val="00986279"/>
    <w:pPr>
      <w:spacing w:before="80" w:after="60" w:line="240" w:lineRule="atLeast"/>
    </w:pPr>
    <w:rPr>
      <w:rFonts w:ascii="Verdana" w:hAnsi="Verdana" w:cs="Arial"/>
      <w:szCs w:val="24"/>
      <w:lang w:eastAsia="en-US"/>
    </w:rPr>
  </w:style>
  <w:style w:type="paragraph" w:customStyle="1" w:styleId="Front1">
    <w:name w:val="Front1"/>
    <w:qFormat/>
    <w:rsid w:val="00986279"/>
    <w:pPr>
      <w:spacing w:before="5280" w:after="120"/>
      <w:ind w:left="-284" w:right="-284"/>
    </w:pPr>
    <w:rPr>
      <w:rFonts w:ascii="Verdana Bold" w:hAnsi="Verdana Bold"/>
      <w:b/>
      <w:color w:val="002656"/>
      <w:sz w:val="36"/>
      <w:szCs w:val="48"/>
    </w:rPr>
  </w:style>
  <w:style w:type="paragraph" w:customStyle="1" w:styleId="Front0">
    <w:name w:val="Front0"/>
    <w:basedOn w:val="Normal"/>
    <w:qFormat/>
    <w:rsid w:val="00986279"/>
    <w:pPr>
      <w:spacing w:after="120"/>
      <w:ind w:left="7201" w:right="-284"/>
    </w:pPr>
    <w:rPr>
      <w:rFonts w:ascii="Verdana" w:hAnsi="Verdana"/>
      <w:b/>
      <w:color w:val="002656"/>
      <w:sz w:val="76"/>
      <w:szCs w:val="76"/>
      <w:lang w:eastAsia="en-GB"/>
    </w:rPr>
  </w:style>
  <w:style w:type="paragraph" w:customStyle="1" w:styleId="Front2">
    <w:name w:val="Front2"/>
    <w:next w:val="Normal"/>
    <w:qFormat/>
    <w:rsid w:val="00986279"/>
    <w:pPr>
      <w:pBdr>
        <w:top w:val="single" w:sz="4" w:space="5" w:color="102D51"/>
        <w:bottom w:val="single" w:sz="4" w:space="5" w:color="102D51"/>
      </w:pBdr>
      <w:spacing w:before="120" w:after="60" w:line="280" w:lineRule="exact"/>
      <w:ind w:left="-284" w:right="-284"/>
    </w:pPr>
    <w:rPr>
      <w:rFonts w:ascii="Verdana" w:hAnsi="Verdana"/>
      <w:b/>
      <w:color w:val="002656"/>
      <w:sz w:val="28"/>
      <w:szCs w:val="50"/>
    </w:rPr>
  </w:style>
  <w:style w:type="character" w:styleId="Hyperlink">
    <w:name w:val="Hyperlink"/>
    <w:rsid w:val="00B8242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703185">
      <w:bodyDiv w:val="1"/>
      <w:marLeft w:val="0"/>
      <w:marRight w:val="0"/>
      <w:marTop w:val="0"/>
      <w:marBottom w:val="0"/>
      <w:divBdr>
        <w:top w:val="none" w:sz="0" w:space="0" w:color="auto"/>
        <w:left w:val="none" w:sz="0" w:space="0" w:color="auto"/>
        <w:bottom w:val="none" w:sz="0" w:space="0" w:color="auto"/>
        <w:right w:val="none" w:sz="0" w:space="0" w:color="auto"/>
      </w:divBdr>
    </w:div>
    <w:div w:id="1543201894">
      <w:bodyDiv w:val="1"/>
      <w:marLeft w:val="0"/>
      <w:marRight w:val="0"/>
      <w:marTop w:val="0"/>
      <w:marBottom w:val="0"/>
      <w:divBdr>
        <w:top w:val="none" w:sz="0" w:space="0" w:color="auto"/>
        <w:left w:val="none" w:sz="0" w:space="0" w:color="auto"/>
        <w:bottom w:val="none" w:sz="0" w:space="0" w:color="auto"/>
        <w:right w:val="none" w:sz="0" w:space="0" w:color="auto"/>
      </w:divBdr>
    </w:div>
    <w:div w:id="1800680831">
      <w:bodyDiv w:val="1"/>
      <w:marLeft w:val="0"/>
      <w:marRight w:val="0"/>
      <w:marTop w:val="0"/>
      <w:marBottom w:val="0"/>
      <w:divBdr>
        <w:top w:val="none" w:sz="0" w:space="0" w:color="auto"/>
        <w:left w:val="none" w:sz="0" w:space="0" w:color="auto"/>
        <w:bottom w:val="none" w:sz="0" w:space="0" w:color="auto"/>
        <w:right w:val="none" w:sz="0" w:space="0" w:color="auto"/>
      </w:divBdr>
    </w:div>
    <w:div w:id="2055352509">
      <w:bodyDiv w:val="1"/>
      <w:marLeft w:val="0"/>
      <w:marRight w:val="0"/>
      <w:marTop w:val="0"/>
      <w:marBottom w:val="0"/>
      <w:divBdr>
        <w:top w:val="none" w:sz="0" w:space="0" w:color="auto"/>
        <w:left w:val="none" w:sz="0" w:space="0" w:color="auto"/>
        <w:bottom w:val="none" w:sz="0" w:space="0" w:color="auto"/>
        <w:right w:val="none" w:sz="0" w:space="0" w:color="auto"/>
      </w:divBdr>
    </w:div>
    <w:div w:id="21261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qualifications.pearson.com/content/dam/pdf/GCSE/History/2016/Teaching-and-learning-materials/gcse-history-changes-for-2025-and-2026-summary-guidance.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1117</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GCSE Getting Started</vt:lpstr>
      <vt:lpstr>GCSE Getting Started</vt:lpstr>
    </vt:vector>
  </TitlesOfParts>
  <Company>Pearson Education</Company>
  <LinksUpToDate>false</LinksUpToDate>
  <CharactersWithSpaces>7473</CharactersWithSpaces>
  <SharedDoc>false</SharedDoc>
  <HLinks>
    <vt:vector size="6" baseType="variant">
      <vt:variant>
        <vt:i4>1376340</vt:i4>
      </vt:variant>
      <vt:variant>
        <vt:i4>0</vt:i4>
      </vt:variant>
      <vt:variant>
        <vt:i4>0</vt:i4>
      </vt:variant>
      <vt:variant>
        <vt:i4>5</vt:i4>
      </vt:variant>
      <vt:variant>
        <vt:lpwstr>https://qualifications.pearson.com/content/dam/pdf/GCSE/History/2016/Teaching-and-learning-materials/gcse-history-changes-for-2025-and-2026-summary-guidance.pdf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Getting Started</dc:title>
  <dc:subject/>
  <dc:creator>regan_c</dc:creator>
  <cp:keywords/>
  <cp:lastModifiedBy>Mark Anstee</cp:lastModifiedBy>
  <cp:revision>3</cp:revision>
  <cp:lastPrinted>2015-11-16T18:37:00Z</cp:lastPrinted>
  <dcterms:created xsi:type="dcterms:W3CDTF">2024-12-17T17:25:00Z</dcterms:created>
  <dcterms:modified xsi:type="dcterms:W3CDTF">2024-12-17T17:40:00Z</dcterms:modified>
</cp:coreProperties>
</file>