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2A2C3" w14:textId="77777777" w:rsidR="00D924E0" w:rsidRPr="00671700" w:rsidRDefault="00D924E0" w:rsidP="00D924E0">
      <w:pPr>
        <w:pStyle w:val="Front0"/>
        <w:spacing w:before="240"/>
      </w:pPr>
      <w:r>
        <w:t xml:space="preserve">Option </w:t>
      </w:r>
      <w:r w:rsidR="007A047A">
        <w:t>30</w:t>
      </w:r>
      <w:r>
        <w:t xml:space="preserve"> scheme of work</w:t>
      </w:r>
    </w:p>
    <w:p w14:paraId="1A4AD767" w14:textId="77777777" w:rsidR="00D924E0" w:rsidRPr="00486F63" w:rsidRDefault="00D924E0" w:rsidP="00DB4293">
      <w:pPr>
        <w:pStyle w:val="Front1"/>
        <w:tabs>
          <w:tab w:val="right" w:pos="14175"/>
        </w:tabs>
        <w:spacing w:before="6000"/>
      </w:pPr>
      <w:r w:rsidRPr="006F004D">
        <w:t>Russia and the Soviet Union, 1917–41</w:t>
      </w:r>
      <w:r>
        <w:br/>
      </w:r>
      <w:r w:rsidRPr="00D61977">
        <w:rPr>
          <w:sz w:val="28"/>
          <w:szCs w:val="28"/>
        </w:rPr>
        <w:t>GCSE (9-1) History</w:t>
      </w:r>
      <w:r w:rsidR="00DB4293">
        <w:rPr>
          <w:sz w:val="28"/>
          <w:szCs w:val="28"/>
        </w:rPr>
        <w:t xml:space="preserve"> </w:t>
      </w:r>
      <w:r w:rsidR="00DB4293">
        <w:rPr>
          <w:sz w:val="28"/>
          <w:szCs w:val="28"/>
        </w:rPr>
        <w:tab/>
        <w:t>(v3 2024)</w:t>
      </w:r>
    </w:p>
    <w:p w14:paraId="4436459D" w14:textId="77777777" w:rsidR="00D924E0" w:rsidRPr="00D61977" w:rsidRDefault="00D924E0" w:rsidP="00D924E0">
      <w:pPr>
        <w:pStyle w:val="Front2"/>
        <w:rPr>
          <w:sz w:val="24"/>
          <w:szCs w:val="24"/>
        </w:rPr>
      </w:pPr>
      <w:r w:rsidRPr="00D61977">
        <w:rPr>
          <w:sz w:val="24"/>
          <w:szCs w:val="24"/>
        </w:rPr>
        <w:t>Pearson Edexcel Level 1/Level 2 GCSE (9-1) in History (1HI0)</w:t>
      </w:r>
    </w:p>
    <w:p w14:paraId="71195E8A" w14:textId="77777777" w:rsidR="00D924E0" w:rsidRDefault="00D924E0" w:rsidP="00D924E0">
      <w:pPr>
        <w:pStyle w:val="Bodytext"/>
        <w:rPr>
          <w:lang w:eastAsia="en-GB"/>
        </w:rPr>
        <w:sectPr w:rsidR="00D924E0" w:rsidSect="00D26FB7">
          <w:headerReference w:type="default" r:id="rId8"/>
          <w:footerReference w:type="default" r:id="rId9"/>
          <w:headerReference w:type="first" r:id="rId10"/>
          <w:footerReference w:type="first" r:id="rId11"/>
          <w:pgSz w:w="16840" w:h="11900" w:orient="landscape" w:code="9"/>
          <w:pgMar w:top="1134" w:right="1134" w:bottom="1134" w:left="1134" w:header="567" w:footer="425" w:gutter="0"/>
          <w:cols w:space="708"/>
        </w:sectPr>
      </w:pPr>
    </w:p>
    <w:p w14:paraId="754CD169" w14:textId="77777777" w:rsidR="00C731C3" w:rsidRDefault="00C731C3" w:rsidP="00C731C3">
      <w:pPr>
        <w:pStyle w:val="Ahead"/>
      </w:pPr>
      <w:r>
        <w:lastRenderedPageBreak/>
        <w:t xml:space="preserve">Introduction </w:t>
      </w:r>
    </w:p>
    <w:p w14:paraId="1F0A9DF6" w14:textId="77777777" w:rsidR="00DB4293" w:rsidRPr="005B7395" w:rsidRDefault="00DB4293" w:rsidP="00DB4293">
      <w:pPr>
        <w:pStyle w:val="text"/>
      </w:pPr>
      <w:bookmarkStart w:id="0" w:name="_Hlk181265736"/>
      <w:r w:rsidRPr="005B7395">
        <w:t xml:space="preserve">This scheme of work has been updated to match Issue 6 of the specification. Summary guidance on the changes can be found </w:t>
      </w:r>
      <w:hyperlink r:id="rId12" w:history="1">
        <w:r w:rsidRPr="005B7395">
          <w:rPr>
            <w:rStyle w:val="Hyperlink"/>
          </w:rPr>
          <w:t>here</w:t>
        </w:r>
      </w:hyperlink>
      <w:r w:rsidRPr="005B7395">
        <w:t>.</w:t>
      </w:r>
    </w:p>
    <w:p w14:paraId="755AA0BC" w14:textId="77777777" w:rsidR="00DB4293" w:rsidRPr="005B7395" w:rsidRDefault="00DB4293" w:rsidP="00DB4293">
      <w:pPr>
        <w:pStyle w:val="text"/>
      </w:pPr>
    </w:p>
    <w:bookmarkEnd w:id="0"/>
    <w:p w14:paraId="30D5393E" w14:textId="77777777" w:rsidR="00F91692" w:rsidRDefault="002229E7" w:rsidP="002229E7">
      <w:pPr>
        <w:pStyle w:val="text"/>
        <w:rPr>
          <w:szCs w:val="18"/>
        </w:rPr>
      </w:pPr>
      <w:r w:rsidRPr="00237473">
        <w:t xml:space="preserve">This document provides a sample </w:t>
      </w:r>
      <w:r w:rsidR="008567DD">
        <w:t xml:space="preserve">outline </w:t>
      </w:r>
      <w:r w:rsidRPr="00237473">
        <w:t xml:space="preserve">scheme of work for </w:t>
      </w:r>
      <w:r w:rsidR="00787BDB" w:rsidRPr="00787BDB">
        <w:rPr>
          <w:b/>
        </w:rPr>
        <w:t>Russia and the Soviet Union, 1917–41</w:t>
      </w:r>
      <w:r w:rsidR="00787BDB">
        <w:rPr>
          <w:b/>
        </w:rPr>
        <w:t>.</w:t>
      </w:r>
    </w:p>
    <w:p w14:paraId="7F01DD8E" w14:textId="77777777" w:rsidR="002229E7" w:rsidRPr="00237473" w:rsidRDefault="00F91692" w:rsidP="002229E7">
      <w:pPr>
        <w:pStyle w:val="text"/>
      </w:pPr>
      <w:r>
        <w:t xml:space="preserve">This is intended </w:t>
      </w:r>
      <w:r w:rsidRPr="00237473">
        <w:t>as an example approach only and is not prescriptive</w:t>
      </w:r>
      <w:r>
        <w:t>: it</w:t>
      </w:r>
      <w:r w:rsidR="002229E7" w:rsidRPr="00237473">
        <w:t xml:space="preserve"> should be adapted by </w:t>
      </w:r>
      <w:r>
        <w:t xml:space="preserve">schools </w:t>
      </w:r>
      <w:r w:rsidR="002229E7" w:rsidRPr="00237473">
        <w:t xml:space="preserve">to fit their timetabling and staffing arrangements. </w:t>
      </w:r>
    </w:p>
    <w:p w14:paraId="059D8F38" w14:textId="77777777" w:rsidR="00316446" w:rsidRDefault="002229E7" w:rsidP="002229E7">
      <w:pPr>
        <w:pStyle w:val="text"/>
      </w:pPr>
      <w:r w:rsidRPr="00237473">
        <w:t xml:space="preserve">The scheme assumes </w:t>
      </w:r>
      <w:r w:rsidR="00316446">
        <w:t>1</w:t>
      </w:r>
      <w:r w:rsidR="00F37021">
        <w:t>8</w:t>
      </w:r>
      <w:r w:rsidRPr="00237473">
        <w:t xml:space="preserve"> teaching weeks for </w:t>
      </w:r>
      <w:r w:rsidR="008567DD">
        <w:t xml:space="preserve">the </w:t>
      </w:r>
      <w:r w:rsidR="00F37021">
        <w:t xml:space="preserve">Modern </w:t>
      </w:r>
      <w:r w:rsidR="00882486">
        <w:t>depth</w:t>
      </w:r>
      <w:r w:rsidR="008567DD">
        <w:t xml:space="preserve"> study</w:t>
      </w:r>
      <w:r w:rsidR="00882486">
        <w:t>.</w:t>
      </w:r>
    </w:p>
    <w:p w14:paraId="088C09ED" w14:textId="77777777" w:rsidR="0059712E" w:rsidRDefault="0059712E" w:rsidP="0059712E">
      <w:pPr>
        <w:pStyle w:val="text"/>
      </w:pPr>
      <w:r w:rsidRPr="00316446">
        <w:t xml:space="preserve">The separate </w:t>
      </w:r>
      <w:r w:rsidRPr="00845780">
        <w:rPr>
          <w:b/>
        </w:rPr>
        <w:t>Course planner</w:t>
      </w:r>
      <w:r w:rsidRPr="00316446">
        <w:t xml:space="preserve"> document provides a range of examples of delivery options that can be used for planning alongside this document.</w:t>
      </w:r>
    </w:p>
    <w:p w14:paraId="7F656D82" w14:textId="77777777" w:rsidR="0059712E" w:rsidRPr="00E45736" w:rsidRDefault="0059712E" w:rsidP="0059712E">
      <w:pPr>
        <w:pStyle w:val="text"/>
      </w:pPr>
      <w:r>
        <w:t xml:space="preserve">The separate </w:t>
      </w:r>
      <w:r>
        <w:rPr>
          <w:b/>
        </w:rPr>
        <w:t xml:space="preserve">Topic booklet </w:t>
      </w:r>
      <w:r>
        <w:t>for Option 30 includes illustrative exemplification of content.</w:t>
      </w:r>
    </w:p>
    <w:p w14:paraId="71271F11" w14:textId="77777777" w:rsidR="00007504" w:rsidRDefault="00007504" w:rsidP="00007504"/>
    <w:p w14:paraId="04DFBF59" w14:textId="77777777" w:rsidR="00CE495F" w:rsidRDefault="00CE495F" w:rsidP="00CE495F">
      <w:pPr>
        <w:pStyle w:val="text"/>
      </w:pPr>
      <w:r>
        <w:t>In adapting this scheme of work, teachers might find it useful to consider the following:</w:t>
      </w:r>
    </w:p>
    <w:p w14:paraId="16BC69AA" w14:textId="77777777" w:rsidR="00CE495F" w:rsidRDefault="00CE495F" w:rsidP="00CE495F">
      <w:pPr>
        <w:pStyle w:val="textbullets"/>
      </w:pPr>
      <w:r w:rsidRPr="004001B5">
        <w:t>What</w:t>
      </w:r>
      <w:r>
        <w:t>,</w:t>
      </w:r>
      <w:r w:rsidRPr="004001B5">
        <w:t xml:space="preserve"> and how much</w:t>
      </w:r>
      <w:r>
        <w:t>,</w:t>
      </w:r>
      <w:r w:rsidRPr="004001B5">
        <w:t xml:space="preserve"> background and contextual </w:t>
      </w:r>
      <w:r>
        <w:t xml:space="preserve">material </w:t>
      </w:r>
      <w:r w:rsidRPr="004001B5">
        <w:t>needs to be covered as an introduction and overview before starting the main specification content</w:t>
      </w:r>
      <w:r>
        <w:t>.</w:t>
      </w:r>
      <w:r w:rsidR="00882486">
        <w:t xml:space="preserve"> </w:t>
      </w:r>
      <w:r w:rsidR="00882486">
        <w:rPr>
          <w:rFonts w:cs="Verdana"/>
          <w:bCs/>
          <w:szCs w:val="20"/>
        </w:rPr>
        <w:t>This is likely to depend on the school’s KS3 programme of study</w:t>
      </w:r>
      <w:r w:rsidR="001147CD">
        <w:rPr>
          <w:rFonts w:cs="Verdana"/>
          <w:bCs/>
          <w:szCs w:val="20"/>
        </w:rPr>
        <w:t>.</w:t>
      </w:r>
      <w:r w:rsidR="00882486">
        <w:rPr>
          <w:rFonts w:cs="Verdana"/>
          <w:bCs/>
          <w:szCs w:val="20"/>
        </w:rPr>
        <w:t xml:space="preserve"> </w:t>
      </w:r>
    </w:p>
    <w:p w14:paraId="552E584D" w14:textId="77777777" w:rsidR="00BA3CE0" w:rsidRDefault="008567DD" w:rsidP="00F37021">
      <w:pPr>
        <w:pStyle w:val="textbullets"/>
      </w:pPr>
      <w:r>
        <w:t xml:space="preserve">The </w:t>
      </w:r>
      <w:r w:rsidR="00F37021">
        <w:t xml:space="preserve">variety </w:t>
      </w:r>
      <w:r w:rsidR="007D198F">
        <w:t xml:space="preserve">of </w:t>
      </w:r>
      <w:r>
        <w:t xml:space="preserve">question types in the </w:t>
      </w:r>
      <w:r w:rsidR="001147CD">
        <w:t>assessment of the M</w:t>
      </w:r>
      <w:r w:rsidR="00F37021">
        <w:t xml:space="preserve">odern depth study, which targets all four Assessment objectives: </w:t>
      </w:r>
    </w:p>
    <w:p w14:paraId="6DFE6EFE" w14:textId="77777777" w:rsidR="0077533D" w:rsidRDefault="00EE66AA" w:rsidP="0077533D">
      <w:pPr>
        <w:pStyle w:val="textbullets"/>
        <w:numPr>
          <w:ilvl w:val="1"/>
          <w:numId w:val="9"/>
        </w:numPr>
      </w:pPr>
      <w:r>
        <w:t>Give two things you can infer from Source A</w:t>
      </w:r>
      <w:r w:rsidR="0077533D">
        <w:t xml:space="preserve"> (AO</w:t>
      </w:r>
      <w:r>
        <w:t>3</w:t>
      </w:r>
      <w:r w:rsidR="0077533D">
        <w:t>)</w:t>
      </w:r>
    </w:p>
    <w:p w14:paraId="54F4EB20" w14:textId="77777777" w:rsidR="0077533D" w:rsidRDefault="0077533D" w:rsidP="0077533D">
      <w:pPr>
        <w:pStyle w:val="textbullets"/>
        <w:numPr>
          <w:ilvl w:val="1"/>
          <w:numId w:val="9"/>
        </w:numPr>
      </w:pPr>
      <w:r>
        <w:t>Explain why... (AO1/2)</w:t>
      </w:r>
    </w:p>
    <w:p w14:paraId="52ED1758" w14:textId="77777777" w:rsidR="0077533D" w:rsidRDefault="001147CD" w:rsidP="0077533D">
      <w:pPr>
        <w:pStyle w:val="textbullets"/>
        <w:numPr>
          <w:ilvl w:val="1"/>
          <w:numId w:val="9"/>
        </w:numPr>
      </w:pPr>
      <w:r>
        <w:t>How useful are Sources B</w:t>
      </w:r>
      <w:r w:rsidR="0077533D">
        <w:t xml:space="preserve"> and </w:t>
      </w:r>
      <w:r>
        <w:t>C</w:t>
      </w:r>
      <w:r w:rsidR="0077533D">
        <w:t xml:space="preserve"> for an enquiry into ... (AO3)</w:t>
      </w:r>
    </w:p>
    <w:p w14:paraId="6CA57A4F" w14:textId="77777777" w:rsidR="0077533D" w:rsidRDefault="0077533D" w:rsidP="0077533D">
      <w:pPr>
        <w:pStyle w:val="textbullets"/>
        <w:numPr>
          <w:ilvl w:val="1"/>
          <w:numId w:val="9"/>
        </w:numPr>
      </w:pPr>
      <w:r>
        <w:t>What is the main difference between [Interpretation 1 and Interpretation 2] (AO4)</w:t>
      </w:r>
    </w:p>
    <w:p w14:paraId="235225C2" w14:textId="77777777" w:rsidR="0077533D" w:rsidRDefault="0077533D" w:rsidP="0077533D">
      <w:pPr>
        <w:pStyle w:val="textbullets"/>
        <w:numPr>
          <w:ilvl w:val="1"/>
          <w:numId w:val="9"/>
        </w:numPr>
      </w:pPr>
      <w:r>
        <w:t>Suggest one reason why Interpretations 1 and 2 give different views about ... (AO4)</w:t>
      </w:r>
    </w:p>
    <w:p w14:paraId="217F3D19" w14:textId="77777777" w:rsidR="0077533D" w:rsidRDefault="0077533D" w:rsidP="0077533D">
      <w:pPr>
        <w:pStyle w:val="textbullets"/>
        <w:numPr>
          <w:ilvl w:val="1"/>
          <w:numId w:val="9"/>
        </w:numPr>
      </w:pPr>
      <w:r>
        <w:t>How far do you agree with Interpretation 2 about... (AO4)</w:t>
      </w:r>
    </w:p>
    <w:p w14:paraId="2957B5B6" w14:textId="77777777" w:rsidR="00F37021" w:rsidRDefault="00F37021" w:rsidP="00F37021">
      <w:pPr>
        <w:pStyle w:val="textbullets"/>
        <w:numPr>
          <w:ilvl w:val="0"/>
          <w:numId w:val="0"/>
        </w:numPr>
        <w:ind w:left="964" w:hanging="397"/>
      </w:pPr>
    </w:p>
    <w:p w14:paraId="24E2C17D" w14:textId="77777777" w:rsidR="00BA3CE0" w:rsidRDefault="00BA3CE0" w:rsidP="00BA3CE0">
      <w:pPr>
        <w:pStyle w:val="textbullets"/>
        <w:numPr>
          <w:ilvl w:val="0"/>
          <w:numId w:val="0"/>
        </w:numPr>
        <w:ind w:left="964" w:hanging="397"/>
        <w:sectPr w:rsidR="00BA3CE0" w:rsidSect="00147748">
          <w:headerReference w:type="even" r:id="rId13"/>
          <w:headerReference w:type="default" r:id="rId14"/>
          <w:footerReference w:type="even" r:id="rId15"/>
          <w:footerReference w:type="default" r:id="rId16"/>
          <w:pgSz w:w="16840" w:h="11900" w:orient="landscape" w:code="9"/>
          <w:pgMar w:top="1418" w:right="1418" w:bottom="1418" w:left="1134" w:header="567" w:footer="567" w:gutter="0"/>
          <w:pgNumType w:start="1"/>
          <w:cols w:space="708"/>
          <w:docGrid w:linePitch="326"/>
        </w:sectPr>
      </w:pPr>
    </w:p>
    <w:p w14:paraId="2A259EFF" w14:textId="77777777" w:rsidR="00780523" w:rsidRPr="00D35A1F" w:rsidRDefault="00780523" w:rsidP="00780523">
      <w:pPr>
        <w:pStyle w:val="text"/>
      </w:pPr>
      <w:r>
        <w:lastRenderedPageBreak/>
        <w:t xml:space="preserve">Suggestions have been made for incorporating making inferences from a source, source utility (which is also assessed in Paper 1) and historical interpretations into the teaching, alongside the specified content. These are suggestions only and students should be prepared to answer these question types on the full range of specified content for this option. </w:t>
      </w:r>
    </w:p>
    <w:p w14:paraId="0051542A" w14:textId="77777777" w:rsidR="00007504" w:rsidRPr="0010147D" w:rsidRDefault="00007504" w:rsidP="00007504">
      <w:pPr>
        <w:pStyle w:val="text"/>
      </w:pPr>
    </w:p>
    <w:tbl>
      <w:tblPr>
        <w:tblW w:w="4973"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1102"/>
        <w:gridCol w:w="13324"/>
      </w:tblGrid>
      <w:tr w:rsidR="008567DD" w:rsidRPr="004C7F7D" w14:paraId="745A6D80" w14:textId="77777777" w:rsidTr="00EB304F">
        <w:trPr>
          <w:cantSplit/>
          <w:trHeight w:val="214"/>
          <w:tblHeader/>
        </w:trPr>
        <w:tc>
          <w:tcPr>
            <w:tcW w:w="382" w:type="pct"/>
            <w:tcBorders>
              <w:top w:val="single" w:sz="4" w:space="0" w:color="FFFFFF"/>
              <w:left w:val="single" w:sz="4" w:space="0" w:color="FFFFFF"/>
              <w:bottom w:val="single" w:sz="4" w:space="0" w:color="999999"/>
              <w:right w:val="single" w:sz="4" w:space="0" w:color="FFFFFF"/>
            </w:tcBorders>
            <w:shd w:val="clear" w:color="auto" w:fill="999999"/>
          </w:tcPr>
          <w:p w14:paraId="4B167339" w14:textId="77777777" w:rsidR="008567DD" w:rsidRPr="00F532F8" w:rsidRDefault="008567DD" w:rsidP="00EB304F">
            <w:pPr>
              <w:pStyle w:val="tabletexthd"/>
              <w:spacing w:before="60"/>
              <w:jc w:val="center"/>
              <w:rPr>
                <w:sz w:val="18"/>
                <w:szCs w:val="18"/>
                <w:shd w:val="clear" w:color="auto" w:fill="FFFFFF"/>
              </w:rPr>
            </w:pPr>
            <w:r>
              <w:rPr>
                <w:sz w:val="18"/>
                <w:szCs w:val="18"/>
              </w:rPr>
              <w:t>Week</w:t>
            </w:r>
          </w:p>
        </w:tc>
        <w:tc>
          <w:tcPr>
            <w:tcW w:w="4618" w:type="pct"/>
            <w:tcBorders>
              <w:top w:val="single" w:sz="4" w:space="0" w:color="FFFFFF"/>
              <w:left w:val="single" w:sz="4" w:space="0" w:color="FFFFFF"/>
              <w:bottom w:val="single" w:sz="4" w:space="0" w:color="999999"/>
              <w:right w:val="single" w:sz="4" w:space="0" w:color="FFFFFF"/>
            </w:tcBorders>
            <w:shd w:val="clear" w:color="auto" w:fill="999999"/>
          </w:tcPr>
          <w:p w14:paraId="374F32BE" w14:textId="77777777" w:rsidR="008567DD" w:rsidRDefault="008567DD" w:rsidP="00EB304F">
            <w:pPr>
              <w:pStyle w:val="tabletexthd"/>
              <w:spacing w:before="60"/>
              <w:jc w:val="center"/>
              <w:rPr>
                <w:sz w:val="18"/>
                <w:szCs w:val="18"/>
              </w:rPr>
            </w:pPr>
            <w:r>
              <w:rPr>
                <w:sz w:val="18"/>
                <w:szCs w:val="18"/>
              </w:rPr>
              <w:t>Specification content</w:t>
            </w:r>
          </w:p>
        </w:tc>
      </w:tr>
      <w:tr w:rsidR="00734816" w:rsidRPr="00C82725" w14:paraId="4083D219" w14:textId="77777777" w:rsidTr="00EB304F">
        <w:trPr>
          <w:cantSplit/>
          <w:trHeight w:val="400"/>
        </w:trPr>
        <w:tc>
          <w:tcPr>
            <w:tcW w:w="382" w:type="pct"/>
            <w:tcBorders>
              <w:top w:val="single" w:sz="4" w:space="0" w:color="999999"/>
              <w:bottom w:val="single" w:sz="4" w:space="0" w:color="999999"/>
            </w:tcBorders>
            <w:shd w:val="clear" w:color="auto" w:fill="auto"/>
          </w:tcPr>
          <w:p w14:paraId="4C27B678" w14:textId="77777777" w:rsidR="00734816" w:rsidRPr="00C82725" w:rsidRDefault="00734816" w:rsidP="00EB304F">
            <w:pPr>
              <w:pStyle w:val="textbullets"/>
              <w:numPr>
                <w:ilvl w:val="0"/>
                <w:numId w:val="0"/>
              </w:numPr>
              <w:tabs>
                <w:tab w:val="clear" w:pos="964"/>
              </w:tabs>
              <w:spacing w:before="60"/>
              <w:jc w:val="center"/>
              <w:rPr>
                <w:rFonts w:cs="Arial"/>
                <w:szCs w:val="18"/>
              </w:rPr>
            </w:pPr>
            <w:r w:rsidRPr="00C82725">
              <w:rPr>
                <w:rFonts w:cs="Arial"/>
                <w:szCs w:val="18"/>
              </w:rPr>
              <w:t>1</w:t>
            </w:r>
          </w:p>
        </w:tc>
        <w:tc>
          <w:tcPr>
            <w:tcW w:w="4618" w:type="pct"/>
            <w:tcBorders>
              <w:top w:val="single" w:sz="4" w:space="0" w:color="999999"/>
              <w:bottom w:val="single" w:sz="4" w:space="0" w:color="999999"/>
            </w:tcBorders>
            <w:vAlign w:val="center"/>
          </w:tcPr>
          <w:p w14:paraId="2A8FF3E2" w14:textId="77777777" w:rsidR="000F13F9" w:rsidRPr="004941FE" w:rsidRDefault="000F13F9" w:rsidP="004941FE">
            <w:pPr>
              <w:pStyle w:val="Tabletextbullets"/>
              <w:rPr>
                <w:i/>
              </w:rPr>
            </w:pPr>
            <w:r w:rsidRPr="004941FE">
              <w:rPr>
                <w:i/>
              </w:rPr>
              <w:t>Overview of Russia and the Soviet Union</w:t>
            </w:r>
            <w:r w:rsidR="001E70E6">
              <w:rPr>
                <w:i/>
              </w:rPr>
              <w:t>,</w:t>
            </w:r>
            <w:r w:rsidRPr="004941FE">
              <w:rPr>
                <w:i/>
              </w:rPr>
              <w:t xml:space="preserve"> 1917–1941.</w:t>
            </w:r>
          </w:p>
          <w:p w14:paraId="6F8BFA38" w14:textId="7AC11696" w:rsidR="00734816" w:rsidRPr="004941FE" w:rsidRDefault="00734816" w:rsidP="004941FE">
            <w:pPr>
              <w:pStyle w:val="Tabletextbullets"/>
              <w:rPr>
                <w:i/>
              </w:rPr>
            </w:pPr>
            <w:r w:rsidRPr="004941FE">
              <w:rPr>
                <w:i/>
              </w:rPr>
              <w:t xml:space="preserve">Introduction </w:t>
            </w:r>
            <w:r w:rsidR="000F13F9" w:rsidRPr="004941FE">
              <w:rPr>
                <w:i/>
              </w:rPr>
              <w:t>to</w:t>
            </w:r>
            <w:r w:rsidRPr="004941FE">
              <w:rPr>
                <w:i/>
              </w:rPr>
              <w:t xml:space="preserve"> </w:t>
            </w:r>
            <w:r w:rsidR="000F13F9" w:rsidRPr="004941FE">
              <w:rPr>
                <w:i/>
              </w:rPr>
              <w:t>Russia</w:t>
            </w:r>
            <w:r w:rsidR="00C82725" w:rsidRPr="004941FE">
              <w:rPr>
                <w:i/>
              </w:rPr>
              <w:t xml:space="preserve"> in 1917.</w:t>
            </w:r>
          </w:p>
          <w:p w14:paraId="680B1D5E" w14:textId="77777777" w:rsidR="00734816" w:rsidRPr="00C82725" w:rsidRDefault="00734816" w:rsidP="00734816">
            <w:pPr>
              <w:pStyle w:val="Tabletext"/>
              <w:rPr>
                <w:b/>
              </w:rPr>
            </w:pPr>
          </w:p>
          <w:p w14:paraId="0D729610" w14:textId="77777777" w:rsidR="00734816" w:rsidRPr="00C82725" w:rsidRDefault="005D32F0" w:rsidP="005D32F0">
            <w:pPr>
              <w:pStyle w:val="Tabletextbullets"/>
              <w:numPr>
                <w:ilvl w:val="0"/>
                <w:numId w:val="0"/>
              </w:numPr>
              <w:ind w:left="397" w:hanging="397"/>
              <w:rPr>
                <w:b/>
              </w:rPr>
            </w:pPr>
            <w:r w:rsidRPr="00C82725">
              <w:rPr>
                <w:b/>
              </w:rPr>
              <w:t xml:space="preserve">Key </w:t>
            </w:r>
            <w:r w:rsidR="00823C71" w:rsidRPr="00C82725">
              <w:rPr>
                <w:b/>
              </w:rPr>
              <w:t xml:space="preserve">topic </w:t>
            </w:r>
            <w:r w:rsidRPr="00C82725">
              <w:rPr>
                <w:b/>
              </w:rPr>
              <w:t xml:space="preserve">1.1 </w:t>
            </w:r>
            <w:r w:rsidR="00DB4293">
              <w:rPr>
                <w:b/>
              </w:rPr>
              <w:t xml:space="preserve">The growth of opposition to the tsar </w:t>
            </w:r>
            <w:r w:rsidR="00C82725" w:rsidRPr="00C82725">
              <w:rPr>
                <w:b/>
              </w:rPr>
              <w:t>in early 1917</w:t>
            </w:r>
          </w:p>
          <w:p w14:paraId="7FF3A166" w14:textId="77777777" w:rsidR="005D32F0" w:rsidRPr="00C82725" w:rsidRDefault="00DB4293" w:rsidP="004941FE">
            <w:pPr>
              <w:pStyle w:val="Tabletextbullets"/>
            </w:pPr>
            <w:r>
              <w:t>Growing</w:t>
            </w:r>
            <w:r w:rsidR="00C82725" w:rsidRPr="00C82725">
              <w:t xml:space="preserve"> discontent among peasants and town workers.</w:t>
            </w:r>
          </w:p>
        </w:tc>
      </w:tr>
      <w:tr w:rsidR="00734816" w:rsidRPr="00C82725" w14:paraId="50AF48D3" w14:textId="77777777" w:rsidTr="00EB304F">
        <w:trPr>
          <w:cantSplit/>
          <w:trHeight w:val="77"/>
        </w:trPr>
        <w:tc>
          <w:tcPr>
            <w:tcW w:w="382" w:type="pct"/>
            <w:tcBorders>
              <w:top w:val="single" w:sz="4" w:space="0" w:color="999999"/>
            </w:tcBorders>
            <w:shd w:val="clear" w:color="auto" w:fill="auto"/>
          </w:tcPr>
          <w:p w14:paraId="1C1FCF4B" w14:textId="77777777" w:rsidR="00734816" w:rsidRPr="00BB0EF7" w:rsidRDefault="00734816" w:rsidP="00EB304F">
            <w:pPr>
              <w:pStyle w:val="textbullets"/>
              <w:numPr>
                <w:ilvl w:val="0"/>
                <w:numId w:val="0"/>
              </w:numPr>
              <w:spacing w:before="60"/>
              <w:jc w:val="center"/>
              <w:rPr>
                <w:rFonts w:cs="Arial"/>
                <w:szCs w:val="18"/>
              </w:rPr>
            </w:pPr>
            <w:r w:rsidRPr="00BB0EF7">
              <w:rPr>
                <w:rFonts w:cs="Arial"/>
                <w:szCs w:val="18"/>
              </w:rPr>
              <w:t>2</w:t>
            </w:r>
          </w:p>
        </w:tc>
        <w:tc>
          <w:tcPr>
            <w:tcW w:w="4618" w:type="pct"/>
            <w:tcBorders>
              <w:top w:val="single" w:sz="4" w:space="0" w:color="999999"/>
            </w:tcBorders>
          </w:tcPr>
          <w:p w14:paraId="0B602B4B" w14:textId="77777777" w:rsidR="003F6065" w:rsidRPr="00BB0EF7" w:rsidRDefault="00BB0EF7" w:rsidP="004941FE">
            <w:pPr>
              <w:pStyle w:val="Tabletextbullets"/>
            </w:pPr>
            <w:r w:rsidRPr="00BB0EF7">
              <w:t>The impact of the First World War: military defeats; economic, political and social effects; the Tsar as commander-in-chief.</w:t>
            </w:r>
          </w:p>
          <w:p w14:paraId="036994D2" w14:textId="77777777" w:rsidR="005D32F0" w:rsidRPr="00BB0EF7" w:rsidRDefault="005D32F0" w:rsidP="005D32F0">
            <w:pPr>
              <w:pStyle w:val="Tabletextbullets"/>
              <w:numPr>
                <w:ilvl w:val="0"/>
                <w:numId w:val="0"/>
              </w:numPr>
            </w:pPr>
          </w:p>
          <w:p w14:paraId="047EF517" w14:textId="77777777" w:rsidR="005D32F0" w:rsidRDefault="00E667FC" w:rsidP="005D32F0">
            <w:pPr>
              <w:pStyle w:val="Tabletextbullets"/>
              <w:numPr>
                <w:ilvl w:val="0"/>
                <w:numId w:val="0"/>
              </w:numPr>
              <w:rPr>
                <w:b/>
              </w:rPr>
            </w:pPr>
            <w:r w:rsidRPr="00BB0EF7">
              <w:rPr>
                <w:b/>
              </w:rPr>
              <w:t xml:space="preserve">Key </w:t>
            </w:r>
            <w:r w:rsidR="00823C71" w:rsidRPr="00BB0EF7">
              <w:rPr>
                <w:b/>
              </w:rPr>
              <w:t xml:space="preserve">topic </w:t>
            </w:r>
            <w:r w:rsidRPr="00BB0EF7">
              <w:rPr>
                <w:b/>
              </w:rPr>
              <w:t>1.</w:t>
            </w:r>
            <w:r w:rsidR="005D32F0" w:rsidRPr="00BB0EF7">
              <w:rPr>
                <w:b/>
              </w:rPr>
              <w:t xml:space="preserve">2 </w:t>
            </w:r>
            <w:r w:rsidR="00BB0EF7" w:rsidRPr="00BB0EF7">
              <w:rPr>
                <w:b/>
              </w:rPr>
              <w:t xml:space="preserve">The February Revolution </w:t>
            </w:r>
          </w:p>
          <w:p w14:paraId="158D1AB2" w14:textId="77777777" w:rsidR="00BB0EF7" w:rsidRPr="00DB4293" w:rsidRDefault="00DB4293">
            <w:pPr>
              <w:pStyle w:val="Tabletextbullets"/>
            </w:pPr>
            <w:r>
              <w:rPr>
                <w:lang w:eastAsia="en-GB"/>
              </w:rPr>
              <w:t>T</w:t>
            </w:r>
            <w:r w:rsidR="00BB0EF7" w:rsidRPr="00BB0EF7">
              <w:rPr>
                <w:lang w:eastAsia="en-GB"/>
              </w:rPr>
              <w:t>he immediate reasons for the February Revolution</w:t>
            </w:r>
            <w:r>
              <w:rPr>
                <w:lang w:eastAsia="en-GB"/>
              </w:rPr>
              <w:t>:</w:t>
            </w:r>
            <w:r w:rsidR="00BB0EF7" w:rsidRPr="00BB0EF7">
              <w:rPr>
                <w:lang w:eastAsia="en-GB"/>
              </w:rPr>
              <w:t xml:space="preserve"> </w:t>
            </w:r>
            <w:r>
              <w:t>e</w:t>
            </w:r>
            <w:r w:rsidR="00BB0EF7" w:rsidRPr="00BB0EF7">
              <w:t>vents in Petrograd in February 1917, including strikes and the mutiny in the army. The Tsar's absence and abdication</w:t>
            </w:r>
            <w:r w:rsidR="00BB0EF7" w:rsidRPr="00DB4293">
              <w:t xml:space="preserve">. </w:t>
            </w:r>
          </w:p>
          <w:p w14:paraId="6145E000" w14:textId="77777777" w:rsidR="003F6065" w:rsidRPr="00BB0EF7" w:rsidRDefault="000F4ED5" w:rsidP="004941FE">
            <w:pPr>
              <w:pStyle w:val="Tabletextbullets"/>
              <w:rPr>
                <w:i/>
              </w:rPr>
            </w:pPr>
            <w:r>
              <w:rPr>
                <w:i/>
              </w:rPr>
              <w:t>Making inferences from a source</w:t>
            </w:r>
          </w:p>
        </w:tc>
      </w:tr>
      <w:tr w:rsidR="00734816" w:rsidRPr="00C82725" w14:paraId="7823CD68" w14:textId="77777777" w:rsidTr="00EB304F">
        <w:trPr>
          <w:cantSplit/>
          <w:trHeight w:val="400"/>
        </w:trPr>
        <w:tc>
          <w:tcPr>
            <w:tcW w:w="382" w:type="pct"/>
            <w:tcBorders>
              <w:top w:val="single" w:sz="4" w:space="0" w:color="999999"/>
              <w:bottom w:val="single" w:sz="4" w:space="0" w:color="999999"/>
            </w:tcBorders>
            <w:shd w:val="clear" w:color="auto" w:fill="auto"/>
          </w:tcPr>
          <w:p w14:paraId="6F89A4E9" w14:textId="77777777" w:rsidR="00734816" w:rsidRPr="004C2A48" w:rsidRDefault="00734816" w:rsidP="00EB304F">
            <w:pPr>
              <w:pStyle w:val="textbullets"/>
              <w:numPr>
                <w:ilvl w:val="0"/>
                <w:numId w:val="0"/>
              </w:numPr>
              <w:tabs>
                <w:tab w:val="clear" w:pos="964"/>
              </w:tabs>
              <w:spacing w:before="60"/>
              <w:jc w:val="center"/>
              <w:rPr>
                <w:rFonts w:cs="Arial"/>
                <w:szCs w:val="18"/>
              </w:rPr>
            </w:pPr>
            <w:r w:rsidRPr="004C2A48">
              <w:rPr>
                <w:rFonts w:cs="Arial"/>
                <w:szCs w:val="18"/>
              </w:rPr>
              <w:t>3</w:t>
            </w:r>
          </w:p>
        </w:tc>
        <w:tc>
          <w:tcPr>
            <w:tcW w:w="4618" w:type="pct"/>
            <w:tcBorders>
              <w:top w:val="single" w:sz="4" w:space="0" w:color="999999"/>
              <w:bottom w:val="single" w:sz="4" w:space="0" w:color="999999"/>
            </w:tcBorders>
          </w:tcPr>
          <w:p w14:paraId="0E886BD2" w14:textId="77777777" w:rsidR="00734816" w:rsidRPr="004C2A48" w:rsidRDefault="00E667FC" w:rsidP="00E667FC">
            <w:pPr>
              <w:pStyle w:val="Tabletextbullets"/>
              <w:numPr>
                <w:ilvl w:val="0"/>
                <w:numId w:val="0"/>
              </w:numPr>
              <w:ind w:left="397" w:hanging="397"/>
              <w:rPr>
                <w:b/>
                <w:szCs w:val="18"/>
              </w:rPr>
            </w:pPr>
            <w:r w:rsidRPr="004C2A48">
              <w:rPr>
                <w:b/>
              </w:rPr>
              <w:t xml:space="preserve">Key </w:t>
            </w:r>
            <w:r w:rsidR="00823C71" w:rsidRPr="004C2A48">
              <w:rPr>
                <w:b/>
              </w:rPr>
              <w:t xml:space="preserve">topic </w:t>
            </w:r>
            <w:r w:rsidRPr="004C2A48">
              <w:rPr>
                <w:b/>
              </w:rPr>
              <w:t xml:space="preserve">1.3 </w:t>
            </w:r>
            <w:r w:rsidR="00BB0EF7" w:rsidRPr="004C2A48">
              <w:rPr>
                <w:b/>
                <w:szCs w:val="18"/>
              </w:rPr>
              <w:t>The Provisional Government</w:t>
            </w:r>
          </w:p>
          <w:p w14:paraId="229CFD6E" w14:textId="77777777" w:rsidR="004C2A48" w:rsidRPr="00446982" w:rsidRDefault="004C2A48" w:rsidP="004941FE">
            <w:pPr>
              <w:pStyle w:val="Tabletextbullets"/>
              <w:rPr>
                <w:lang w:eastAsia="en-GB"/>
              </w:rPr>
            </w:pPr>
            <w:r w:rsidRPr="00446982">
              <w:rPr>
                <w:lang w:eastAsia="en-GB"/>
              </w:rPr>
              <w:t>The establishment of the Provisional Government and the problems it faced</w:t>
            </w:r>
            <w:r w:rsidR="00DB4293">
              <w:rPr>
                <w:lang w:eastAsia="en-GB"/>
              </w:rPr>
              <w:t>, including ‘Dual Control’ and Soviet Order Number 1</w:t>
            </w:r>
            <w:r w:rsidRPr="00446982">
              <w:rPr>
                <w:lang w:eastAsia="en-GB"/>
              </w:rPr>
              <w:t>. The role of Kerensky.</w:t>
            </w:r>
          </w:p>
          <w:p w14:paraId="7BB329E4" w14:textId="77777777" w:rsidR="004C2A48" w:rsidRPr="004C2A48" w:rsidRDefault="004C2A48" w:rsidP="004941FE">
            <w:pPr>
              <w:pStyle w:val="Tabletextbullets"/>
              <w:rPr>
                <w:b/>
              </w:rPr>
            </w:pPr>
            <w:r w:rsidRPr="004C2A48">
              <w:t>The weaknesses and failures of the Provisional Government.</w:t>
            </w:r>
          </w:p>
          <w:p w14:paraId="235B143A" w14:textId="77777777" w:rsidR="00E667FC" w:rsidRPr="004C2A48" w:rsidRDefault="003F6065" w:rsidP="004941FE">
            <w:pPr>
              <w:pStyle w:val="Tabletextbullets"/>
              <w:rPr>
                <w:b/>
              </w:rPr>
            </w:pPr>
            <w:r w:rsidRPr="004C2A48">
              <w:rPr>
                <w:i/>
              </w:rPr>
              <w:t>Source utility</w:t>
            </w:r>
          </w:p>
        </w:tc>
      </w:tr>
      <w:tr w:rsidR="00734816" w:rsidRPr="00C82725" w14:paraId="680D094F" w14:textId="77777777" w:rsidTr="00EB304F">
        <w:trPr>
          <w:cantSplit/>
          <w:trHeight w:val="400"/>
        </w:trPr>
        <w:tc>
          <w:tcPr>
            <w:tcW w:w="382" w:type="pct"/>
            <w:tcBorders>
              <w:top w:val="single" w:sz="4" w:space="0" w:color="999999"/>
              <w:bottom w:val="single" w:sz="4" w:space="0" w:color="999999"/>
            </w:tcBorders>
            <w:shd w:val="clear" w:color="auto" w:fill="auto"/>
          </w:tcPr>
          <w:p w14:paraId="108C14E8" w14:textId="77777777" w:rsidR="00734816" w:rsidRPr="004C2A48" w:rsidRDefault="00734816" w:rsidP="00EB304F">
            <w:pPr>
              <w:pStyle w:val="textbullets"/>
              <w:numPr>
                <w:ilvl w:val="0"/>
                <w:numId w:val="0"/>
              </w:numPr>
              <w:tabs>
                <w:tab w:val="clear" w:pos="964"/>
              </w:tabs>
              <w:spacing w:before="60"/>
              <w:jc w:val="center"/>
              <w:rPr>
                <w:rFonts w:cs="Arial"/>
                <w:szCs w:val="18"/>
              </w:rPr>
            </w:pPr>
            <w:r w:rsidRPr="004C2A48">
              <w:rPr>
                <w:rFonts w:cs="Arial"/>
                <w:szCs w:val="18"/>
              </w:rPr>
              <w:t>4</w:t>
            </w:r>
          </w:p>
        </w:tc>
        <w:tc>
          <w:tcPr>
            <w:tcW w:w="4618" w:type="pct"/>
            <w:tcBorders>
              <w:top w:val="single" w:sz="4" w:space="0" w:color="999999"/>
              <w:bottom w:val="single" w:sz="4" w:space="0" w:color="999999"/>
            </w:tcBorders>
          </w:tcPr>
          <w:p w14:paraId="690AC126" w14:textId="77777777" w:rsidR="004C2A48" w:rsidRPr="004C2A48" w:rsidRDefault="004C2A48" w:rsidP="004941FE">
            <w:pPr>
              <w:pStyle w:val="Tabletextbullets"/>
              <w:rPr>
                <w:b/>
              </w:rPr>
            </w:pPr>
            <w:r w:rsidRPr="004C2A48">
              <w:t>The significance of the Kornilov Revolt.</w:t>
            </w:r>
          </w:p>
          <w:p w14:paraId="5CA0C9D6" w14:textId="77777777" w:rsidR="004C2A48" w:rsidRPr="004C2A48" w:rsidRDefault="004C2A48" w:rsidP="004C2A48">
            <w:pPr>
              <w:pStyle w:val="Tabletextbullets"/>
              <w:numPr>
                <w:ilvl w:val="0"/>
                <w:numId w:val="0"/>
              </w:numPr>
              <w:ind w:left="360"/>
              <w:rPr>
                <w:b/>
              </w:rPr>
            </w:pPr>
          </w:p>
          <w:p w14:paraId="1F6BFA53" w14:textId="77777777" w:rsidR="00734816" w:rsidRPr="004C2A48" w:rsidRDefault="00E667FC" w:rsidP="00E667FC">
            <w:pPr>
              <w:pStyle w:val="Tabletextbullets"/>
              <w:numPr>
                <w:ilvl w:val="0"/>
                <w:numId w:val="0"/>
              </w:numPr>
              <w:ind w:left="397" w:hanging="397"/>
              <w:rPr>
                <w:b/>
              </w:rPr>
            </w:pPr>
            <w:r w:rsidRPr="004C2A48">
              <w:rPr>
                <w:b/>
              </w:rPr>
              <w:t xml:space="preserve">Key </w:t>
            </w:r>
            <w:r w:rsidR="00823C71" w:rsidRPr="004C2A48">
              <w:rPr>
                <w:b/>
              </w:rPr>
              <w:t xml:space="preserve">topic </w:t>
            </w:r>
            <w:r w:rsidRPr="004C2A48">
              <w:rPr>
                <w:b/>
              </w:rPr>
              <w:t xml:space="preserve">1.4 </w:t>
            </w:r>
            <w:r w:rsidR="004C2A48" w:rsidRPr="004C2A48">
              <w:rPr>
                <w:b/>
              </w:rPr>
              <w:t xml:space="preserve">The Bolshevik Revolution </w:t>
            </w:r>
          </w:p>
          <w:p w14:paraId="0C6F04FE" w14:textId="77777777" w:rsidR="004C2A48" w:rsidRPr="004C2A48" w:rsidRDefault="004C2A48" w:rsidP="004941FE">
            <w:pPr>
              <w:pStyle w:val="Tabletextbullets"/>
              <w:rPr>
                <w:lang w:eastAsia="en-GB"/>
              </w:rPr>
            </w:pPr>
            <w:r w:rsidRPr="004C2A48">
              <w:rPr>
                <w:lang w:eastAsia="en-GB"/>
              </w:rPr>
              <w:t>Lenin's return and activities, including the April Theses and the growth in suppor</w:t>
            </w:r>
            <w:r w:rsidR="00446982">
              <w:rPr>
                <w:lang w:eastAsia="en-GB"/>
              </w:rPr>
              <w:t>t for the Bolshevik Party. The ‘July Days’</w:t>
            </w:r>
            <w:r w:rsidRPr="004C2A48">
              <w:rPr>
                <w:lang w:eastAsia="en-GB"/>
              </w:rPr>
              <w:t>.</w:t>
            </w:r>
          </w:p>
          <w:p w14:paraId="1A1F38A7" w14:textId="77777777" w:rsidR="00E667FC" w:rsidRPr="00446982" w:rsidRDefault="004C2A48" w:rsidP="004941FE">
            <w:pPr>
              <w:pStyle w:val="Tabletextbullets"/>
              <w:rPr>
                <w:b/>
              </w:rPr>
            </w:pPr>
            <w:r w:rsidRPr="00446982">
              <w:t xml:space="preserve">The Bolshevik seizure of power in October 1917. The reasons for their success. The roles of Trotsky and Lenin. </w:t>
            </w:r>
          </w:p>
          <w:p w14:paraId="3ACD10DF" w14:textId="77777777" w:rsidR="004C2A48" w:rsidRPr="004C2A48" w:rsidRDefault="004C2A48" w:rsidP="004941FE">
            <w:pPr>
              <w:pStyle w:val="Tabletextbullets"/>
              <w:rPr>
                <w:b/>
              </w:rPr>
            </w:pPr>
            <w:r w:rsidRPr="004C2A48">
              <w:rPr>
                <w:i/>
              </w:rPr>
              <w:t>Analysis of interpretations of the roles of individuals in the success of the October Revolution</w:t>
            </w:r>
          </w:p>
        </w:tc>
      </w:tr>
      <w:tr w:rsidR="00734816" w:rsidRPr="00C82725" w14:paraId="1F769B6E" w14:textId="77777777" w:rsidTr="00EB304F">
        <w:trPr>
          <w:cantSplit/>
          <w:trHeight w:val="810"/>
        </w:trPr>
        <w:tc>
          <w:tcPr>
            <w:tcW w:w="382" w:type="pct"/>
            <w:tcBorders>
              <w:top w:val="single" w:sz="4" w:space="0" w:color="999999"/>
            </w:tcBorders>
            <w:shd w:val="clear" w:color="auto" w:fill="auto"/>
          </w:tcPr>
          <w:p w14:paraId="572B14C8" w14:textId="77777777" w:rsidR="00734816" w:rsidRPr="004C2A48" w:rsidRDefault="00734816" w:rsidP="00EB304F">
            <w:pPr>
              <w:pStyle w:val="textbullets"/>
              <w:numPr>
                <w:ilvl w:val="0"/>
                <w:numId w:val="0"/>
              </w:numPr>
              <w:spacing w:before="60"/>
              <w:jc w:val="center"/>
              <w:rPr>
                <w:rFonts w:cs="Arial"/>
                <w:szCs w:val="18"/>
              </w:rPr>
            </w:pPr>
            <w:r w:rsidRPr="004C2A48">
              <w:rPr>
                <w:rFonts w:cs="Arial"/>
                <w:szCs w:val="18"/>
              </w:rPr>
              <w:lastRenderedPageBreak/>
              <w:t>5</w:t>
            </w:r>
          </w:p>
        </w:tc>
        <w:tc>
          <w:tcPr>
            <w:tcW w:w="4618" w:type="pct"/>
            <w:tcBorders>
              <w:top w:val="single" w:sz="4" w:space="0" w:color="999999"/>
            </w:tcBorders>
          </w:tcPr>
          <w:p w14:paraId="2AC92AE1" w14:textId="77777777" w:rsidR="00E667FC" w:rsidRPr="004C2A48" w:rsidRDefault="00E667FC" w:rsidP="00E667FC">
            <w:pPr>
              <w:pStyle w:val="Tabletextbullets"/>
              <w:numPr>
                <w:ilvl w:val="0"/>
                <w:numId w:val="0"/>
              </w:numPr>
              <w:rPr>
                <w:b/>
                <w:szCs w:val="18"/>
              </w:rPr>
            </w:pPr>
            <w:r w:rsidRPr="008F7BF9">
              <w:rPr>
                <w:b/>
                <w:szCs w:val="20"/>
              </w:rPr>
              <w:t xml:space="preserve">Key topic 2.1 </w:t>
            </w:r>
            <w:r w:rsidR="004C2A48" w:rsidRPr="008F7BF9">
              <w:rPr>
                <w:b/>
                <w:szCs w:val="20"/>
              </w:rPr>
              <w:t>Early</w:t>
            </w:r>
            <w:r w:rsidR="004C2A48" w:rsidRPr="004C2A48">
              <w:rPr>
                <w:b/>
                <w:szCs w:val="18"/>
              </w:rPr>
              <w:t xml:space="preserve"> consolidation of power, 1917–18</w:t>
            </w:r>
          </w:p>
          <w:p w14:paraId="027EB4A3" w14:textId="77777777" w:rsidR="004C2A48" w:rsidRPr="004C2A48" w:rsidRDefault="004C2A48" w:rsidP="004941FE">
            <w:pPr>
              <w:pStyle w:val="Tabletextbullets"/>
              <w:rPr>
                <w:lang w:eastAsia="en-GB"/>
              </w:rPr>
            </w:pPr>
            <w:r w:rsidRPr="004C2A48">
              <w:rPr>
                <w:lang w:eastAsia="en-GB"/>
              </w:rPr>
              <w:t>The early Bolshevik decrees of November</w:t>
            </w:r>
            <w:r w:rsidR="00E76CE6">
              <w:rPr>
                <w:lang w:eastAsia="en-GB"/>
              </w:rPr>
              <w:t>–</w:t>
            </w:r>
            <w:r w:rsidRPr="004C2A48">
              <w:rPr>
                <w:lang w:eastAsia="en-GB"/>
              </w:rPr>
              <w:t xml:space="preserve">December 1917. </w:t>
            </w:r>
          </w:p>
          <w:p w14:paraId="51E47BD9" w14:textId="77777777" w:rsidR="004C2A48" w:rsidRPr="004C2A48" w:rsidRDefault="004C2A48" w:rsidP="004941FE">
            <w:pPr>
              <w:pStyle w:val="Tabletextbullets"/>
            </w:pPr>
            <w:r w:rsidRPr="004C2A48">
              <w:t>The removal of opposition, including the Constituent Assembly and the execution of Tsar Nicholas II and his family.</w:t>
            </w:r>
          </w:p>
          <w:p w14:paraId="45701B3C" w14:textId="77777777" w:rsidR="000F4ED5" w:rsidRPr="000F1D1D" w:rsidRDefault="000F4ED5" w:rsidP="004941FE">
            <w:pPr>
              <w:pStyle w:val="Tabletextbullets"/>
              <w:rPr>
                <w:b/>
                <w:i/>
              </w:rPr>
            </w:pPr>
            <w:r w:rsidRPr="00707A4C">
              <w:t xml:space="preserve">The reasons for, main terms, and significance of, the Treaty of Brest-Litovsk. Different reactions in Russia to the Treaty. </w:t>
            </w:r>
          </w:p>
          <w:p w14:paraId="78D1B0C0" w14:textId="77777777" w:rsidR="009C08F6" w:rsidRPr="004C2A48" w:rsidRDefault="003224AF" w:rsidP="004941FE">
            <w:pPr>
              <w:pStyle w:val="Tabletextbullets"/>
              <w:rPr>
                <w:i/>
              </w:rPr>
            </w:pPr>
            <w:r>
              <w:rPr>
                <w:i/>
              </w:rPr>
              <w:t>Making inferences from a s</w:t>
            </w:r>
            <w:r w:rsidRPr="0062288A">
              <w:rPr>
                <w:i/>
              </w:rPr>
              <w:t>ource</w:t>
            </w:r>
          </w:p>
        </w:tc>
      </w:tr>
      <w:tr w:rsidR="00734816" w:rsidRPr="00C82725" w14:paraId="3FBF590B" w14:textId="77777777" w:rsidTr="00EB304F">
        <w:trPr>
          <w:cantSplit/>
          <w:trHeight w:val="400"/>
        </w:trPr>
        <w:tc>
          <w:tcPr>
            <w:tcW w:w="382" w:type="pct"/>
            <w:tcBorders>
              <w:top w:val="single" w:sz="4" w:space="0" w:color="999999"/>
              <w:bottom w:val="single" w:sz="4" w:space="0" w:color="999999"/>
            </w:tcBorders>
            <w:shd w:val="clear" w:color="auto" w:fill="auto"/>
          </w:tcPr>
          <w:p w14:paraId="2435912C" w14:textId="77777777" w:rsidR="00734816" w:rsidRPr="00707A4C" w:rsidRDefault="00734816" w:rsidP="00EB304F">
            <w:pPr>
              <w:pStyle w:val="textbullets"/>
              <w:numPr>
                <w:ilvl w:val="0"/>
                <w:numId w:val="0"/>
              </w:numPr>
              <w:tabs>
                <w:tab w:val="clear" w:pos="964"/>
              </w:tabs>
              <w:spacing w:before="60"/>
              <w:jc w:val="center"/>
              <w:rPr>
                <w:rFonts w:cs="Arial"/>
                <w:szCs w:val="18"/>
              </w:rPr>
            </w:pPr>
            <w:r w:rsidRPr="00707A4C">
              <w:rPr>
                <w:rFonts w:cs="Arial"/>
                <w:szCs w:val="18"/>
              </w:rPr>
              <w:t>6</w:t>
            </w:r>
          </w:p>
        </w:tc>
        <w:tc>
          <w:tcPr>
            <w:tcW w:w="4618" w:type="pct"/>
            <w:tcBorders>
              <w:top w:val="single" w:sz="4" w:space="0" w:color="999999"/>
              <w:bottom w:val="single" w:sz="4" w:space="0" w:color="999999"/>
            </w:tcBorders>
          </w:tcPr>
          <w:p w14:paraId="360F0007" w14:textId="77777777" w:rsidR="009C08F6" w:rsidRDefault="009C08F6" w:rsidP="009C08F6">
            <w:pPr>
              <w:pStyle w:val="Tabletextbullets"/>
              <w:numPr>
                <w:ilvl w:val="0"/>
                <w:numId w:val="0"/>
              </w:numPr>
              <w:rPr>
                <w:b/>
                <w:szCs w:val="18"/>
              </w:rPr>
            </w:pPr>
            <w:r w:rsidRPr="008F7BF9">
              <w:rPr>
                <w:b/>
                <w:szCs w:val="20"/>
              </w:rPr>
              <w:t>Key topic 2.2</w:t>
            </w:r>
            <w:r w:rsidRPr="00707A4C">
              <w:rPr>
                <w:b/>
                <w:szCs w:val="18"/>
              </w:rPr>
              <w:t xml:space="preserve"> </w:t>
            </w:r>
            <w:r w:rsidR="004C2A48" w:rsidRPr="00707A4C">
              <w:rPr>
                <w:b/>
                <w:szCs w:val="18"/>
              </w:rPr>
              <w:t>The Civil War, 1918–21</w:t>
            </w:r>
          </w:p>
          <w:p w14:paraId="7880EB79" w14:textId="77777777" w:rsidR="004C2A48" w:rsidRPr="00707A4C" w:rsidRDefault="004C2A48" w:rsidP="004941FE">
            <w:pPr>
              <w:pStyle w:val="Tabletextbullets"/>
              <w:rPr>
                <w:lang w:eastAsia="en-GB"/>
              </w:rPr>
            </w:pPr>
            <w:r w:rsidRPr="00707A4C">
              <w:rPr>
                <w:lang w:eastAsia="en-GB"/>
              </w:rPr>
              <w:t xml:space="preserve">The reasons for, key events and effects of the Civil War. </w:t>
            </w:r>
          </w:p>
          <w:p w14:paraId="04D6867C" w14:textId="77777777" w:rsidR="004C2A48" w:rsidRPr="00707A4C" w:rsidRDefault="004C2A48" w:rsidP="004941FE">
            <w:pPr>
              <w:pStyle w:val="Tabletextbullets"/>
              <w:rPr>
                <w:i/>
              </w:rPr>
            </w:pPr>
            <w:r w:rsidRPr="00707A4C">
              <w:t xml:space="preserve">The reasons for the Bolshevik victory, including the strengths of the Bolsheviks, role of Trotsky, foreign intervention and the weaknesses of the Whites. </w:t>
            </w:r>
          </w:p>
          <w:p w14:paraId="34F1EA89" w14:textId="71559089" w:rsidR="003F6065" w:rsidRPr="00707A4C" w:rsidRDefault="003F6065" w:rsidP="004941FE">
            <w:pPr>
              <w:pStyle w:val="Tabletextbullets"/>
              <w:rPr>
                <w:i/>
              </w:rPr>
            </w:pPr>
            <w:r w:rsidRPr="00707A4C">
              <w:rPr>
                <w:i/>
              </w:rPr>
              <w:t xml:space="preserve">Analysis of interpretations </w:t>
            </w:r>
            <w:r w:rsidR="004C2A48" w:rsidRPr="00707A4C">
              <w:rPr>
                <w:i/>
              </w:rPr>
              <w:t xml:space="preserve">of the reasons for Bolshevik </w:t>
            </w:r>
            <w:r w:rsidR="00E502CB">
              <w:rPr>
                <w:i/>
              </w:rPr>
              <w:t>v</w:t>
            </w:r>
            <w:r w:rsidR="004C2A48" w:rsidRPr="00707A4C">
              <w:rPr>
                <w:i/>
              </w:rPr>
              <w:t xml:space="preserve">ictory in the Civil War. </w:t>
            </w:r>
          </w:p>
        </w:tc>
      </w:tr>
      <w:tr w:rsidR="00734816" w:rsidRPr="00C82725" w14:paraId="5E66E29E" w14:textId="77777777" w:rsidTr="00EB304F">
        <w:trPr>
          <w:cantSplit/>
          <w:trHeight w:val="400"/>
        </w:trPr>
        <w:tc>
          <w:tcPr>
            <w:tcW w:w="382" w:type="pct"/>
            <w:tcBorders>
              <w:top w:val="single" w:sz="4" w:space="0" w:color="999999"/>
              <w:bottom w:val="single" w:sz="4" w:space="0" w:color="999999"/>
            </w:tcBorders>
            <w:shd w:val="clear" w:color="auto" w:fill="auto"/>
          </w:tcPr>
          <w:p w14:paraId="2AC7DB95" w14:textId="77777777" w:rsidR="00734816" w:rsidRPr="00787BDB" w:rsidRDefault="00734816" w:rsidP="00EB304F">
            <w:pPr>
              <w:pStyle w:val="textbullets"/>
              <w:numPr>
                <w:ilvl w:val="0"/>
                <w:numId w:val="0"/>
              </w:numPr>
              <w:tabs>
                <w:tab w:val="clear" w:pos="964"/>
              </w:tabs>
              <w:spacing w:before="60"/>
              <w:jc w:val="center"/>
              <w:rPr>
                <w:rFonts w:cs="Arial"/>
                <w:szCs w:val="18"/>
              </w:rPr>
            </w:pPr>
            <w:r w:rsidRPr="00787BDB">
              <w:rPr>
                <w:rFonts w:cs="Arial"/>
                <w:szCs w:val="18"/>
              </w:rPr>
              <w:t>7</w:t>
            </w:r>
          </w:p>
        </w:tc>
        <w:tc>
          <w:tcPr>
            <w:tcW w:w="4618" w:type="pct"/>
            <w:tcBorders>
              <w:top w:val="single" w:sz="4" w:space="0" w:color="999999"/>
              <w:bottom w:val="single" w:sz="4" w:space="0" w:color="999999"/>
            </w:tcBorders>
          </w:tcPr>
          <w:p w14:paraId="503F9BC6" w14:textId="77777777" w:rsidR="009C08F6" w:rsidRDefault="009C08F6" w:rsidP="009C08F6">
            <w:pPr>
              <w:pStyle w:val="Tabletextbullets"/>
              <w:numPr>
                <w:ilvl w:val="0"/>
                <w:numId w:val="0"/>
              </w:numPr>
              <w:rPr>
                <w:b/>
                <w:szCs w:val="18"/>
              </w:rPr>
            </w:pPr>
            <w:r w:rsidRPr="008F7BF9">
              <w:rPr>
                <w:b/>
                <w:szCs w:val="20"/>
              </w:rPr>
              <w:t>Key topic 2.3</w:t>
            </w:r>
            <w:r w:rsidRPr="00787BDB">
              <w:rPr>
                <w:b/>
                <w:szCs w:val="18"/>
              </w:rPr>
              <w:t xml:space="preserve"> </w:t>
            </w:r>
            <w:r w:rsidR="00707A4C" w:rsidRPr="00787BDB">
              <w:rPr>
                <w:b/>
                <w:szCs w:val="18"/>
              </w:rPr>
              <w:t>Moves towards totalitarianism</w:t>
            </w:r>
          </w:p>
          <w:p w14:paraId="3347E10F" w14:textId="77777777" w:rsidR="00707A4C" w:rsidRPr="00446982" w:rsidRDefault="00707A4C" w:rsidP="004941FE">
            <w:pPr>
              <w:pStyle w:val="Tabletextbullets"/>
              <w:rPr>
                <w:lang w:eastAsia="en-GB"/>
              </w:rPr>
            </w:pPr>
            <w:r w:rsidRPr="00446982">
              <w:rPr>
                <w:lang w:eastAsia="en-GB"/>
              </w:rPr>
              <w:t>The Red Terror and the role of the Cheka. The Kronstadt Mutiny.</w:t>
            </w:r>
          </w:p>
          <w:p w14:paraId="6791C607" w14:textId="77777777" w:rsidR="00FA7220" w:rsidRPr="003224AF" w:rsidRDefault="00707A4C" w:rsidP="004941FE">
            <w:pPr>
              <w:pStyle w:val="Tabletextbullets"/>
              <w:rPr>
                <w:i/>
              </w:rPr>
            </w:pPr>
            <w:r w:rsidRPr="00787BDB">
              <w:t xml:space="preserve">Bolshevik centralisation, including the role of Lenin and the Politburo. Setting up of the USSR. </w:t>
            </w:r>
          </w:p>
        </w:tc>
      </w:tr>
      <w:tr w:rsidR="00734816" w:rsidRPr="00C82725" w14:paraId="38BE032A" w14:textId="77777777" w:rsidTr="00EB304F">
        <w:trPr>
          <w:cantSplit/>
          <w:trHeight w:val="77"/>
        </w:trPr>
        <w:tc>
          <w:tcPr>
            <w:tcW w:w="382" w:type="pct"/>
            <w:tcBorders>
              <w:top w:val="single" w:sz="4" w:space="0" w:color="999999"/>
            </w:tcBorders>
            <w:shd w:val="clear" w:color="auto" w:fill="auto"/>
          </w:tcPr>
          <w:p w14:paraId="2C10ACB4" w14:textId="77777777" w:rsidR="00734816" w:rsidRPr="00787BDB" w:rsidRDefault="00734816" w:rsidP="00EB304F">
            <w:pPr>
              <w:pStyle w:val="textbullets"/>
              <w:numPr>
                <w:ilvl w:val="0"/>
                <w:numId w:val="0"/>
              </w:numPr>
              <w:spacing w:before="60"/>
              <w:jc w:val="center"/>
              <w:rPr>
                <w:rFonts w:cs="Arial"/>
                <w:szCs w:val="18"/>
              </w:rPr>
            </w:pPr>
            <w:r w:rsidRPr="00787BDB">
              <w:rPr>
                <w:rFonts w:cs="Arial"/>
                <w:szCs w:val="18"/>
              </w:rPr>
              <w:t>8</w:t>
            </w:r>
          </w:p>
        </w:tc>
        <w:tc>
          <w:tcPr>
            <w:tcW w:w="4618" w:type="pct"/>
            <w:tcBorders>
              <w:top w:val="single" w:sz="4" w:space="0" w:color="999999"/>
            </w:tcBorders>
          </w:tcPr>
          <w:p w14:paraId="16BE3F0C" w14:textId="77777777" w:rsidR="00734816" w:rsidRDefault="009C08F6" w:rsidP="009C08F6">
            <w:pPr>
              <w:pStyle w:val="Tabletextbullets"/>
              <w:numPr>
                <w:ilvl w:val="0"/>
                <w:numId w:val="0"/>
              </w:numPr>
              <w:ind w:left="397" w:hanging="397"/>
              <w:rPr>
                <w:b/>
                <w:szCs w:val="18"/>
              </w:rPr>
            </w:pPr>
            <w:r w:rsidRPr="008F7BF9">
              <w:rPr>
                <w:b/>
                <w:szCs w:val="20"/>
              </w:rPr>
              <w:t xml:space="preserve">Key topic 2.4 </w:t>
            </w:r>
            <w:r w:rsidR="00787BDB" w:rsidRPr="008F7BF9">
              <w:rPr>
                <w:b/>
                <w:szCs w:val="20"/>
              </w:rPr>
              <w:t>Economic</w:t>
            </w:r>
            <w:r w:rsidR="00787BDB" w:rsidRPr="00787BDB">
              <w:rPr>
                <w:b/>
                <w:szCs w:val="18"/>
              </w:rPr>
              <w:t xml:space="preserve"> and social change, 1918–24</w:t>
            </w:r>
          </w:p>
          <w:p w14:paraId="1B85780B" w14:textId="77777777" w:rsidR="00787BDB" w:rsidRPr="00787BDB" w:rsidRDefault="00787BDB" w:rsidP="004941FE">
            <w:pPr>
              <w:pStyle w:val="Tabletextbullets"/>
              <w:rPr>
                <w:lang w:eastAsia="en-GB"/>
              </w:rPr>
            </w:pPr>
            <w:r w:rsidRPr="00787BDB">
              <w:rPr>
                <w:lang w:eastAsia="en-GB"/>
              </w:rPr>
              <w:t xml:space="preserve">Reasons for, and features of, War Communism. Reasons for its unpopularity. </w:t>
            </w:r>
          </w:p>
          <w:p w14:paraId="6A5AF8D0" w14:textId="77777777" w:rsidR="00787BDB" w:rsidRPr="00787BDB" w:rsidRDefault="00787BDB" w:rsidP="004941FE">
            <w:pPr>
              <w:pStyle w:val="Tabletextbullets"/>
            </w:pPr>
            <w:r w:rsidRPr="00787BDB">
              <w:t>Reasons for, and features of, the New Economic Policy. Different reactions to the NEP. Its effects on the economy, 1921</w:t>
            </w:r>
            <w:r w:rsidR="00E76CE6">
              <w:rPr>
                <w:lang w:eastAsia="en-GB"/>
              </w:rPr>
              <w:t>–</w:t>
            </w:r>
            <w:r w:rsidRPr="00787BDB">
              <w:t>24.</w:t>
            </w:r>
          </w:p>
          <w:p w14:paraId="3F0833F5" w14:textId="43ABF265" w:rsidR="00FA7220" w:rsidRPr="00787BDB" w:rsidRDefault="003224AF" w:rsidP="004941FE">
            <w:pPr>
              <w:pStyle w:val="Tabletextbullets"/>
            </w:pPr>
            <w:r>
              <w:rPr>
                <w:i/>
              </w:rPr>
              <w:t>Evaluation</w:t>
            </w:r>
            <w:r w:rsidR="00FA7220" w:rsidRPr="00787BDB">
              <w:rPr>
                <w:i/>
              </w:rPr>
              <w:t xml:space="preserve"> of interpretations </w:t>
            </w:r>
            <w:r w:rsidR="00787BDB" w:rsidRPr="00787BDB">
              <w:rPr>
                <w:i/>
              </w:rPr>
              <w:t xml:space="preserve">of reasons for the changes in </w:t>
            </w:r>
            <w:r w:rsidR="003322A2">
              <w:rPr>
                <w:i/>
              </w:rPr>
              <w:t>Bolshevik</w:t>
            </w:r>
            <w:r w:rsidR="00787BDB" w:rsidRPr="00787BDB">
              <w:rPr>
                <w:i/>
              </w:rPr>
              <w:t xml:space="preserve"> </w:t>
            </w:r>
            <w:r w:rsidR="003322A2" w:rsidRPr="00787BDB">
              <w:rPr>
                <w:i/>
              </w:rPr>
              <w:t xml:space="preserve">economic policy </w:t>
            </w:r>
            <w:r w:rsidR="00787BDB" w:rsidRPr="00787BDB">
              <w:rPr>
                <w:i/>
              </w:rPr>
              <w:t>1918</w:t>
            </w:r>
            <w:r w:rsidR="00E76CE6">
              <w:rPr>
                <w:lang w:eastAsia="en-GB"/>
              </w:rPr>
              <w:t>–</w:t>
            </w:r>
            <w:r w:rsidR="00787BDB" w:rsidRPr="00787BDB">
              <w:rPr>
                <w:i/>
              </w:rPr>
              <w:t>24</w:t>
            </w:r>
          </w:p>
        </w:tc>
      </w:tr>
      <w:tr w:rsidR="00734816" w:rsidRPr="00C82725" w14:paraId="6655CFCF" w14:textId="77777777" w:rsidTr="00EB304F">
        <w:trPr>
          <w:cantSplit/>
          <w:trHeight w:val="400"/>
        </w:trPr>
        <w:tc>
          <w:tcPr>
            <w:tcW w:w="382" w:type="pct"/>
            <w:tcBorders>
              <w:top w:val="single" w:sz="4" w:space="0" w:color="999999"/>
              <w:bottom w:val="single" w:sz="4" w:space="0" w:color="999999"/>
            </w:tcBorders>
            <w:shd w:val="clear" w:color="auto" w:fill="auto"/>
          </w:tcPr>
          <w:p w14:paraId="6C8C2ED5" w14:textId="77777777" w:rsidR="00734816" w:rsidRPr="002108C6" w:rsidRDefault="00734816" w:rsidP="00EB304F">
            <w:pPr>
              <w:pStyle w:val="textbullets"/>
              <w:numPr>
                <w:ilvl w:val="0"/>
                <w:numId w:val="0"/>
              </w:numPr>
              <w:tabs>
                <w:tab w:val="clear" w:pos="964"/>
              </w:tabs>
              <w:spacing w:before="60"/>
              <w:jc w:val="center"/>
              <w:rPr>
                <w:rFonts w:cs="Arial"/>
                <w:szCs w:val="18"/>
              </w:rPr>
            </w:pPr>
            <w:r w:rsidRPr="002108C6">
              <w:rPr>
                <w:rFonts w:cs="Arial"/>
                <w:szCs w:val="18"/>
              </w:rPr>
              <w:t>9</w:t>
            </w:r>
          </w:p>
        </w:tc>
        <w:tc>
          <w:tcPr>
            <w:tcW w:w="4618" w:type="pct"/>
            <w:tcBorders>
              <w:top w:val="single" w:sz="4" w:space="0" w:color="999999"/>
              <w:bottom w:val="single" w:sz="4" w:space="0" w:color="999999"/>
            </w:tcBorders>
          </w:tcPr>
          <w:p w14:paraId="58ED93A5" w14:textId="77777777" w:rsidR="00787BDB" w:rsidRPr="002108C6" w:rsidRDefault="00787BDB" w:rsidP="004941FE">
            <w:pPr>
              <w:pStyle w:val="Tabletextbullets"/>
            </w:pPr>
            <w:r w:rsidRPr="002108C6">
              <w:t>Social changes, including the impact of Bolshevik policies on women, education and culture.</w:t>
            </w:r>
          </w:p>
          <w:p w14:paraId="2D45FAEF" w14:textId="77777777" w:rsidR="00787BDB" w:rsidRPr="002108C6" w:rsidRDefault="00787BDB" w:rsidP="009C08F6">
            <w:pPr>
              <w:pStyle w:val="Tabletextbullets"/>
              <w:numPr>
                <w:ilvl w:val="0"/>
                <w:numId w:val="0"/>
              </w:numPr>
              <w:ind w:left="397" w:hanging="397"/>
              <w:rPr>
                <w:b/>
                <w:sz w:val="18"/>
                <w:szCs w:val="18"/>
              </w:rPr>
            </w:pPr>
          </w:p>
          <w:p w14:paraId="70B85C11" w14:textId="77777777" w:rsidR="002108C6" w:rsidRPr="002108C6" w:rsidRDefault="009C08F6" w:rsidP="008F7BF9">
            <w:pPr>
              <w:pStyle w:val="textbullets"/>
              <w:numPr>
                <w:ilvl w:val="0"/>
                <w:numId w:val="0"/>
              </w:numPr>
              <w:tabs>
                <w:tab w:val="clear" w:pos="964"/>
              </w:tabs>
              <w:spacing w:before="60" w:line="200" w:lineRule="atLeast"/>
              <w:ind w:right="6"/>
              <w:rPr>
                <w:szCs w:val="18"/>
              </w:rPr>
            </w:pPr>
            <w:r w:rsidRPr="008F7BF9">
              <w:rPr>
                <w:b/>
                <w:szCs w:val="20"/>
              </w:rPr>
              <w:t>Key topic 3.1</w:t>
            </w:r>
            <w:r w:rsidRPr="002108C6">
              <w:rPr>
                <w:b/>
                <w:szCs w:val="18"/>
              </w:rPr>
              <w:t xml:space="preserve"> </w:t>
            </w:r>
            <w:r w:rsidR="002108C6" w:rsidRPr="002108C6">
              <w:rPr>
                <w:rFonts w:cs="Arial"/>
                <w:b/>
                <w:szCs w:val="18"/>
                <w:lang w:eastAsia="en-US"/>
              </w:rPr>
              <w:t>The struggle for power, 1924–28</w:t>
            </w:r>
          </w:p>
          <w:p w14:paraId="6BB0EFAF" w14:textId="77777777" w:rsidR="002108C6" w:rsidRPr="002108C6" w:rsidRDefault="002108C6" w:rsidP="004941FE">
            <w:pPr>
              <w:pStyle w:val="Tabletextbullets"/>
              <w:rPr>
                <w:lang w:eastAsia="en-GB"/>
              </w:rPr>
            </w:pPr>
            <w:r w:rsidRPr="002108C6">
              <w:rPr>
                <w:lang w:eastAsia="en-GB"/>
              </w:rPr>
              <w:t>The strengths and weaknesses of Stalin and his rivals (Trotsky, Kamenev, Zinoviev and Bukharin).</w:t>
            </w:r>
          </w:p>
          <w:p w14:paraId="7DE801FC" w14:textId="77777777" w:rsidR="002108C6" w:rsidRPr="002108C6" w:rsidRDefault="002108C6" w:rsidP="004941FE">
            <w:pPr>
              <w:pStyle w:val="Tabletextbullets"/>
              <w:rPr>
                <w:i/>
              </w:rPr>
            </w:pPr>
            <w:r w:rsidRPr="002108C6">
              <w:t xml:space="preserve">The </w:t>
            </w:r>
            <w:r w:rsidR="00EB304F">
              <w:t xml:space="preserve">reasons for the </w:t>
            </w:r>
            <w:r w:rsidRPr="002108C6">
              <w:t>emergence of Stalin as leader of the USSR</w:t>
            </w:r>
            <w:r w:rsidR="00EB304F">
              <w:t>, including</w:t>
            </w:r>
            <w:r w:rsidRPr="002108C6">
              <w:t xml:space="preserve"> the removal of rivals for the leadership in the years 1924–28.</w:t>
            </w:r>
          </w:p>
          <w:p w14:paraId="48A112AA" w14:textId="77777777" w:rsidR="002108C6" w:rsidRPr="002108C6" w:rsidRDefault="003224AF" w:rsidP="004941FE">
            <w:pPr>
              <w:pStyle w:val="Tabletextbullets"/>
              <w:rPr>
                <w:i/>
              </w:rPr>
            </w:pPr>
            <w:r>
              <w:rPr>
                <w:i/>
              </w:rPr>
              <w:t xml:space="preserve">Evaluation </w:t>
            </w:r>
            <w:r w:rsidR="002108C6" w:rsidRPr="002108C6">
              <w:rPr>
                <w:i/>
              </w:rPr>
              <w:t>of interpretations of</w:t>
            </w:r>
            <w:r w:rsidR="00FA7220" w:rsidRPr="002108C6">
              <w:rPr>
                <w:i/>
              </w:rPr>
              <w:t xml:space="preserve"> the </w:t>
            </w:r>
            <w:r w:rsidR="00BA48CE" w:rsidRPr="002108C6">
              <w:rPr>
                <w:i/>
              </w:rPr>
              <w:t xml:space="preserve">reasons for </w:t>
            </w:r>
            <w:r w:rsidR="002108C6" w:rsidRPr="002108C6">
              <w:rPr>
                <w:i/>
              </w:rPr>
              <w:t>Stalin’s emergence as ruler of the USSR</w:t>
            </w:r>
          </w:p>
        </w:tc>
      </w:tr>
      <w:tr w:rsidR="00734816" w:rsidRPr="00C82725" w14:paraId="03D4DFC5" w14:textId="77777777" w:rsidTr="00EB304F">
        <w:trPr>
          <w:cantSplit/>
          <w:trHeight w:val="400"/>
        </w:trPr>
        <w:tc>
          <w:tcPr>
            <w:tcW w:w="382" w:type="pct"/>
            <w:tcBorders>
              <w:top w:val="single" w:sz="4" w:space="0" w:color="999999"/>
              <w:bottom w:val="single" w:sz="4" w:space="0" w:color="999999"/>
            </w:tcBorders>
            <w:shd w:val="clear" w:color="auto" w:fill="auto"/>
          </w:tcPr>
          <w:p w14:paraId="0512200E" w14:textId="77777777" w:rsidR="00734816" w:rsidRPr="0062288A" w:rsidRDefault="00734816" w:rsidP="00EB304F">
            <w:pPr>
              <w:pStyle w:val="textbullets"/>
              <w:numPr>
                <w:ilvl w:val="0"/>
                <w:numId w:val="0"/>
              </w:numPr>
              <w:tabs>
                <w:tab w:val="clear" w:pos="964"/>
              </w:tabs>
              <w:spacing w:before="60"/>
              <w:jc w:val="center"/>
              <w:rPr>
                <w:rFonts w:cs="Arial"/>
                <w:szCs w:val="18"/>
              </w:rPr>
            </w:pPr>
            <w:r w:rsidRPr="0062288A">
              <w:rPr>
                <w:rFonts w:cs="Arial"/>
                <w:szCs w:val="18"/>
              </w:rPr>
              <w:lastRenderedPageBreak/>
              <w:t>10</w:t>
            </w:r>
          </w:p>
        </w:tc>
        <w:tc>
          <w:tcPr>
            <w:tcW w:w="4618" w:type="pct"/>
            <w:tcBorders>
              <w:top w:val="single" w:sz="4" w:space="0" w:color="999999"/>
              <w:bottom w:val="single" w:sz="4" w:space="0" w:color="999999"/>
            </w:tcBorders>
          </w:tcPr>
          <w:p w14:paraId="2364631F" w14:textId="77777777" w:rsidR="00734816" w:rsidRPr="0062288A" w:rsidRDefault="009C08F6" w:rsidP="009C08F6">
            <w:pPr>
              <w:pStyle w:val="Tabletextbullets"/>
              <w:numPr>
                <w:ilvl w:val="0"/>
                <w:numId w:val="0"/>
              </w:numPr>
              <w:ind w:left="397" w:hanging="397"/>
              <w:rPr>
                <w:b/>
                <w:szCs w:val="18"/>
              </w:rPr>
            </w:pPr>
            <w:r w:rsidRPr="008F7BF9">
              <w:rPr>
                <w:b/>
                <w:szCs w:val="20"/>
              </w:rPr>
              <w:t xml:space="preserve">Key topic 3.2 </w:t>
            </w:r>
            <w:r w:rsidR="005D6C37" w:rsidRPr="008F7BF9">
              <w:rPr>
                <w:b/>
                <w:szCs w:val="20"/>
              </w:rPr>
              <w:t>The</w:t>
            </w:r>
            <w:r w:rsidR="005D6C37" w:rsidRPr="0062288A">
              <w:rPr>
                <w:b/>
                <w:szCs w:val="18"/>
              </w:rPr>
              <w:t xml:space="preserve"> use of terror in the 1930s</w:t>
            </w:r>
          </w:p>
          <w:p w14:paraId="5D3B7247" w14:textId="77777777" w:rsidR="0062288A" w:rsidRPr="0062288A" w:rsidRDefault="0062288A" w:rsidP="004941FE">
            <w:pPr>
              <w:pStyle w:val="Tabletextbullets"/>
              <w:rPr>
                <w:lang w:eastAsia="en-GB"/>
              </w:rPr>
            </w:pPr>
            <w:r w:rsidRPr="0062288A">
              <w:rPr>
                <w:lang w:eastAsia="en-GB"/>
              </w:rPr>
              <w:t xml:space="preserve">The reasons for, nature of and consequences of the purges, including the purges of the armed forces. </w:t>
            </w:r>
          </w:p>
          <w:p w14:paraId="4C9BFBB6" w14:textId="77777777" w:rsidR="0062288A" w:rsidRPr="0062288A" w:rsidRDefault="0062288A" w:rsidP="004941FE">
            <w:pPr>
              <w:pStyle w:val="Tabletextbullets"/>
            </w:pPr>
            <w:r w:rsidRPr="0062288A">
              <w:t>The work of the secret police (NKVD); the use of, and conditions in, the labour camps.</w:t>
            </w:r>
          </w:p>
          <w:p w14:paraId="171460DE" w14:textId="77777777" w:rsidR="00BA48CE" w:rsidRPr="0062288A" w:rsidRDefault="003224AF" w:rsidP="004941FE">
            <w:pPr>
              <w:pStyle w:val="Tabletextbullets"/>
              <w:rPr>
                <w:i/>
              </w:rPr>
            </w:pPr>
            <w:r>
              <w:rPr>
                <w:i/>
              </w:rPr>
              <w:t>Making inferences from a s</w:t>
            </w:r>
            <w:r w:rsidR="00BA48CE" w:rsidRPr="0062288A">
              <w:rPr>
                <w:i/>
              </w:rPr>
              <w:t xml:space="preserve">ource </w:t>
            </w:r>
          </w:p>
        </w:tc>
      </w:tr>
      <w:tr w:rsidR="00734816" w:rsidRPr="00C82725" w14:paraId="25653FEE" w14:textId="77777777" w:rsidTr="00EB304F">
        <w:trPr>
          <w:cantSplit/>
          <w:trHeight w:val="562"/>
        </w:trPr>
        <w:tc>
          <w:tcPr>
            <w:tcW w:w="382" w:type="pct"/>
            <w:tcBorders>
              <w:top w:val="single" w:sz="4" w:space="0" w:color="999999"/>
            </w:tcBorders>
            <w:shd w:val="clear" w:color="auto" w:fill="auto"/>
          </w:tcPr>
          <w:p w14:paraId="1899481C" w14:textId="77777777" w:rsidR="00734816" w:rsidRPr="0062288A" w:rsidRDefault="00734816" w:rsidP="00EB304F">
            <w:pPr>
              <w:pStyle w:val="textbullets"/>
              <w:numPr>
                <w:ilvl w:val="0"/>
                <w:numId w:val="0"/>
              </w:numPr>
              <w:spacing w:before="60"/>
              <w:jc w:val="center"/>
              <w:rPr>
                <w:rFonts w:cs="Arial"/>
                <w:szCs w:val="18"/>
              </w:rPr>
            </w:pPr>
            <w:r w:rsidRPr="0062288A">
              <w:rPr>
                <w:rFonts w:cs="Arial"/>
                <w:szCs w:val="18"/>
              </w:rPr>
              <w:t>11</w:t>
            </w:r>
          </w:p>
        </w:tc>
        <w:tc>
          <w:tcPr>
            <w:tcW w:w="4618" w:type="pct"/>
            <w:tcBorders>
              <w:top w:val="single" w:sz="4" w:space="0" w:color="999999"/>
            </w:tcBorders>
          </w:tcPr>
          <w:p w14:paraId="4B700ED9" w14:textId="77777777" w:rsidR="0062288A" w:rsidRPr="000D2D9E" w:rsidRDefault="0062288A" w:rsidP="004941FE">
            <w:pPr>
              <w:pStyle w:val="Tabletextbullets"/>
              <w:rPr>
                <w:b/>
                <w:sz w:val="18"/>
              </w:rPr>
            </w:pPr>
            <w:r w:rsidRPr="0062288A">
              <w:t>The reasons for, and the importance of, the show trials of 1936–1938.</w:t>
            </w:r>
          </w:p>
          <w:p w14:paraId="24F668E9" w14:textId="77777777" w:rsidR="0062288A" w:rsidRPr="0062288A" w:rsidRDefault="0062288A" w:rsidP="0062288A">
            <w:pPr>
              <w:pStyle w:val="Tabletextbullets"/>
              <w:numPr>
                <w:ilvl w:val="0"/>
                <w:numId w:val="0"/>
              </w:numPr>
              <w:ind w:left="360"/>
              <w:rPr>
                <w:b/>
                <w:sz w:val="18"/>
                <w:szCs w:val="18"/>
              </w:rPr>
            </w:pPr>
          </w:p>
          <w:p w14:paraId="1C237076" w14:textId="77777777" w:rsidR="00734816" w:rsidRPr="0062288A" w:rsidRDefault="009C08F6" w:rsidP="00446982">
            <w:pPr>
              <w:pStyle w:val="Tabletextbullets"/>
              <w:numPr>
                <w:ilvl w:val="0"/>
                <w:numId w:val="0"/>
              </w:numPr>
              <w:ind w:left="397" w:hanging="397"/>
              <w:rPr>
                <w:b/>
                <w:szCs w:val="18"/>
              </w:rPr>
            </w:pPr>
            <w:r w:rsidRPr="008F7BF9">
              <w:rPr>
                <w:b/>
                <w:szCs w:val="20"/>
              </w:rPr>
              <w:t xml:space="preserve">Key topic 3.3 </w:t>
            </w:r>
            <w:r w:rsidR="0062288A" w:rsidRPr="008F7BF9">
              <w:rPr>
                <w:b/>
                <w:szCs w:val="20"/>
              </w:rPr>
              <w:t>Propaganda</w:t>
            </w:r>
            <w:r w:rsidR="0062288A" w:rsidRPr="0062288A">
              <w:rPr>
                <w:b/>
                <w:szCs w:val="18"/>
              </w:rPr>
              <w:t xml:space="preserve"> and censorship</w:t>
            </w:r>
          </w:p>
          <w:p w14:paraId="169E3317" w14:textId="77777777" w:rsidR="0062288A" w:rsidRPr="0062288A" w:rsidRDefault="0062288A" w:rsidP="004941FE">
            <w:pPr>
              <w:pStyle w:val="Tabletextbullets"/>
              <w:rPr>
                <w:lang w:eastAsia="en-GB"/>
              </w:rPr>
            </w:pPr>
            <w:r w:rsidRPr="0062288A">
              <w:rPr>
                <w:lang w:eastAsia="en-GB"/>
              </w:rPr>
              <w:t>Official culture, socialist realism, control of education and religion. Media censorship.</w:t>
            </w:r>
          </w:p>
          <w:p w14:paraId="4E1AB320" w14:textId="77777777" w:rsidR="0062288A" w:rsidRPr="0062288A" w:rsidRDefault="0062288A" w:rsidP="004941FE">
            <w:pPr>
              <w:pStyle w:val="Tabletextbullets"/>
            </w:pPr>
            <w:r w:rsidRPr="0062288A">
              <w:t xml:space="preserve">The new Constitution of 1936. </w:t>
            </w:r>
          </w:p>
          <w:p w14:paraId="7156AE2F" w14:textId="77777777" w:rsidR="00BA48CE" w:rsidRPr="0062288A" w:rsidRDefault="000D2D9E" w:rsidP="004941FE">
            <w:pPr>
              <w:pStyle w:val="Tabletextbullets"/>
            </w:pPr>
            <w:r>
              <w:rPr>
                <w:i/>
              </w:rPr>
              <w:t>Making inferences from a s</w:t>
            </w:r>
            <w:r w:rsidRPr="0062288A">
              <w:rPr>
                <w:i/>
              </w:rPr>
              <w:t>ource</w:t>
            </w:r>
          </w:p>
        </w:tc>
      </w:tr>
      <w:tr w:rsidR="00734816" w:rsidRPr="00C82725" w14:paraId="3693E3C5" w14:textId="77777777" w:rsidTr="00EB304F">
        <w:trPr>
          <w:cantSplit/>
          <w:trHeight w:val="400"/>
        </w:trPr>
        <w:tc>
          <w:tcPr>
            <w:tcW w:w="382" w:type="pct"/>
            <w:tcBorders>
              <w:top w:val="single" w:sz="4" w:space="0" w:color="999999"/>
              <w:bottom w:val="single" w:sz="4" w:space="0" w:color="999999"/>
            </w:tcBorders>
            <w:shd w:val="clear" w:color="auto" w:fill="auto"/>
          </w:tcPr>
          <w:p w14:paraId="385254DE" w14:textId="77777777" w:rsidR="00734816" w:rsidRPr="00AE58EC" w:rsidRDefault="00734816" w:rsidP="00EB304F">
            <w:pPr>
              <w:pStyle w:val="textbullets"/>
              <w:numPr>
                <w:ilvl w:val="0"/>
                <w:numId w:val="0"/>
              </w:numPr>
              <w:tabs>
                <w:tab w:val="clear" w:pos="964"/>
              </w:tabs>
              <w:spacing w:before="60"/>
              <w:jc w:val="center"/>
              <w:rPr>
                <w:rFonts w:cs="Arial"/>
                <w:szCs w:val="18"/>
              </w:rPr>
            </w:pPr>
            <w:r w:rsidRPr="00AE58EC">
              <w:rPr>
                <w:rFonts w:cs="Arial"/>
                <w:szCs w:val="18"/>
              </w:rPr>
              <w:t>12</w:t>
            </w:r>
          </w:p>
        </w:tc>
        <w:tc>
          <w:tcPr>
            <w:tcW w:w="4618" w:type="pct"/>
            <w:tcBorders>
              <w:top w:val="single" w:sz="4" w:space="0" w:color="999999"/>
              <w:bottom w:val="single" w:sz="4" w:space="0" w:color="999999"/>
            </w:tcBorders>
          </w:tcPr>
          <w:p w14:paraId="498EA675" w14:textId="77777777" w:rsidR="00AE58EC" w:rsidRPr="00AE58EC" w:rsidRDefault="009C08F6" w:rsidP="00AE58EC">
            <w:pPr>
              <w:pStyle w:val="Tabletextbullets"/>
              <w:numPr>
                <w:ilvl w:val="0"/>
                <w:numId w:val="0"/>
              </w:numPr>
              <w:rPr>
                <w:b/>
                <w:szCs w:val="18"/>
              </w:rPr>
            </w:pPr>
            <w:r w:rsidRPr="008F7BF9">
              <w:rPr>
                <w:b/>
                <w:szCs w:val="20"/>
              </w:rPr>
              <w:t>Key topic 3.4</w:t>
            </w:r>
            <w:r w:rsidRPr="00AE58EC">
              <w:rPr>
                <w:b/>
                <w:szCs w:val="18"/>
              </w:rPr>
              <w:t xml:space="preserve"> </w:t>
            </w:r>
            <w:r w:rsidR="00AE58EC" w:rsidRPr="00AE58EC">
              <w:rPr>
                <w:b/>
                <w:szCs w:val="18"/>
              </w:rPr>
              <w:t>The Cult of Stalin</w:t>
            </w:r>
            <w:r w:rsidR="00AE58EC" w:rsidRPr="00AE58EC">
              <w:rPr>
                <w:szCs w:val="18"/>
              </w:rPr>
              <w:t xml:space="preserve"> </w:t>
            </w:r>
          </w:p>
          <w:p w14:paraId="0094C03B" w14:textId="77777777" w:rsidR="00AE58EC" w:rsidRPr="00AE58EC" w:rsidRDefault="00AE58EC" w:rsidP="004941FE">
            <w:pPr>
              <w:pStyle w:val="Tabletextbullets"/>
            </w:pPr>
            <w:r w:rsidRPr="00AE58EC">
              <w:t>The meaning of the Cult of Stalin and reasons for its introduction.</w:t>
            </w:r>
          </w:p>
          <w:p w14:paraId="659F5639" w14:textId="77777777" w:rsidR="00AE58EC" w:rsidRPr="00AE58EC" w:rsidRDefault="00AE58EC" w:rsidP="004941FE">
            <w:pPr>
              <w:pStyle w:val="Tabletextbullets"/>
            </w:pPr>
            <w:r w:rsidRPr="00AE58EC">
              <w:t xml:space="preserve">How the Cult of Stalin was achieved. </w:t>
            </w:r>
          </w:p>
          <w:p w14:paraId="2CBBAACA" w14:textId="77777777" w:rsidR="00AE58EC" w:rsidRPr="00AE58EC" w:rsidRDefault="00AE58EC" w:rsidP="004941FE">
            <w:pPr>
              <w:pStyle w:val="Tabletextbullets"/>
            </w:pPr>
            <w:r w:rsidRPr="00AE58EC">
              <w:rPr>
                <w:i/>
              </w:rPr>
              <w:t>Source utility.</w:t>
            </w:r>
          </w:p>
        </w:tc>
      </w:tr>
      <w:tr w:rsidR="00734816" w:rsidRPr="00C82725" w14:paraId="28FC3598" w14:textId="77777777" w:rsidTr="00EB304F">
        <w:trPr>
          <w:cantSplit/>
          <w:trHeight w:val="400"/>
        </w:trPr>
        <w:tc>
          <w:tcPr>
            <w:tcW w:w="382" w:type="pct"/>
            <w:tcBorders>
              <w:top w:val="single" w:sz="4" w:space="0" w:color="999999"/>
              <w:bottom w:val="single" w:sz="4" w:space="0" w:color="999999"/>
            </w:tcBorders>
            <w:shd w:val="clear" w:color="auto" w:fill="auto"/>
          </w:tcPr>
          <w:p w14:paraId="6295D4FB" w14:textId="77777777" w:rsidR="00734816" w:rsidRPr="00AE58EC" w:rsidRDefault="00137693" w:rsidP="00EB304F">
            <w:pPr>
              <w:pStyle w:val="textbullets"/>
              <w:numPr>
                <w:ilvl w:val="0"/>
                <w:numId w:val="0"/>
              </w:numPr>
              <w:tabs>
                <w:tab w:val="clear" w:pos="964"/>
              </w:tabs>
              <w:spacing w:before="60"/>
              <w:jc w:val="center"/>
              <w:rPr>
                <w:rFonts w:cs="Arial"/>
                <w:szCs w:val="18"/>
              </w:rPr>
            </w:pPr>
            <w:r w:rsidRPr="00AE58EC">
              <w:rPr>
                <w:rFonts w:cs="Arial"/>
                <w:szCs w:val="18"/>
              </w:rPr>
              <w:t>13</w:t>
            </w:r>
          </w:p>
        </w:tc>
        <w:tc>
          <w:tcPr>
            <w:tcW w:w="4618" w:type="pct"/>
            <w:tcBorders>
              <w:top w:val="single" w:sz="4" w:space="0" w:color="999999"/>
              <w:bottom w:val="single" w:sz="4" w:space="0" w:color="999999"/>
            </w:tcBorders>
          </w:tcPr>
          <w:p w14:paraId="291887E9" w14:textId="77777777" w:rsidR="00AE58EC" w:rsidRPr="00006676" w:rsidRDefault="00AE58EC" w:rsidP="00AE58EC">
            <w:pPr>
              <w:pStyle w:val="Tabletextbullets"/>
              <w:numPr>
                <w:ilvl w:val="0"/>
                <w:numId w:val="0"/>
              </w:numPr>
              <w:rPr>
                <w:b/>
                <w:szCs w:val="18"/>
              </w:rPr>
            </w:pPr>
            <w:r w:rsidRPr="008F7BF9">
              <w:rPr>
                <w:b/>
                <w:szCs w:val="20"/>
              </w:rPr>
              <w:t>Key topic 4.</w:t>
            </w:r>
            <w:r w:rsidRPr="00006676">
              <w:rPr>
                <w:b/>
                <w:szCs w:val="18"/>
              </w:rPr>
              <w:t>1 Agriculture and collectivisation</w:t>
            </w:r>
          </w:p>
          <w:p w14:paraId="2D22D09C" w14:textId="77777777" w:rsidR="00AE58EC" w:rsidRPr="00006676" w:rsidRDefault="00AE58EC" w:rsidP="004941FE">
            <w:pPr>
              <w:pStyle w:val="Tabletextbullets"/>
            </w:pPr>
            <w:r w:rsidRPr="00006676">
              <w:t xml:space="preserve">Stalin's reasons for changes in agriculture, including the problems of the NEP. </w:t>
            </w:r>
          </w:p>
          <w:p w14:paraId="2BA9B7C8" w14:textId="77777777" w:rsidR="00AE58EC" w:rsidRPr="00006676" w:rsidRDefault="00AE58EC" w:rsidP="00006676">
            <w:pPr>
              <w:pStyle w:val="Tabletextbullets"/>
              <w:rPr>
                <w:b/>
              </w:rPr>
            </w:pPr>
            <w:r w:rsidRPr="00006676">
              <w:t>The organisation of collectives, mechanisation, widespread opposition and the attack on the kulaks. Famine in Ukraine.</w:t>
            </w:r>
          </w:p>
        </w:tc>
      </w:tr>
      <w:tr w:rsidR="00734816" w:rsidRPr="00C82725" w14:paraId="0E8FF715" w14:textId="77777777" w:rsidTr="00EB304F">
        <w:trPr>
          <w:cantSplit/>
          <w:trHeight w:val="400"/>
        </w:trPr>
        <w:tc>
          <w:tcPr>
            <w:tcW w:w="382" w:type="pct"/>
            <w:tcBorders>
              <w:top w:val="single" w:sz="4" w:space="0" w:color="999999"/>
              <w:bottom w:val="single" w:sz="4" w:space="0" w:color="999999"/>
            </w:tcBorders>
            <w:shd w:val="clear" w:color="auto" w:fill="auto"/>
          </w:tcPr>
          <w:p w14:paraId="6EA0DC10" w14:textId="77777777" w:rsidR="00734816" w:rsidRPr="00C80EC3" w:rsidRDefault="00137693" w:rsidP="00EB304F">
            <w:pPr>
              <w:pStyle w:val="textbullets"/>
              <w:numPr>
                <w:ilvl w:val="0"/>
                <w:numId w:val="0"/>
              </w:numPr>
              <w:tabs>
                <w:tab w:val="clear" w:pos="964"/>
              </w:tabs>
              <w:spacing w:before="60"/>
              <w:jc w:val="center"/>
              <w:rPr>
                <w:rFonts w:cs="Arial"/>
                <w:szCs w:val="18"/>
              </w:rPr>
            </w:pPr>
            <w:r w:rsidRPr="00C80EC3">
              <w:rPr>
                <w:rFonts w:cs="Arial"/>
                <w:szCs w:val="18"/>
              </w:rPr>
              <w:t>14</w:t>
            </w:r>
          </w:p>
        </w:tc>
        <w:tc>
          <w:tcPr>
            <w:tcW w:w="4618" w:type="pct"/>
            <w:tcBorders>
              <w:top w:val="single" w:sz="4" w:space="0" w:color="999999"/>
              <w:bottom w:val="single" w:sz="4" w:space="0" w:color="999999"/>
            </w:tcBorders>
          </w:tcPr>
          <w:p w14:paraId="2C273578" w14:textId="77777777" w:rsidR="00AE58EC" w:rsidRPr="004941FE" w:rsidRDefault="00AE58EC" w:rsidP="004941FE">
            <w:pPr>
              <w:pStyle w:val="Tabletextbullets"/>
            </w:pPr>
            <w:r w:rsidRPr="004941FE">
              <w:t>The successes and failures of collectivisation.</w:t>
            </w:r>
          </w:p>
          <w:p w14:paraId="773B068C" w14:textId="77777777" w:rsidR="00AE58EC" w:rsidRPr="004941FE" w:rsidRDefault="00AE58EC" w:rsidP="004941FE">
            <w:pPr>
              <w:pStyle w:val="Tabletextbullets"/>
              <w:rPr>
                <w:i/>
              </w:rPr>
            </w:pPr>
            <w:r w:rsidRPr="004941FE">
              <w:rPr>
                <w:i/>
              </w:rPr>
              <w:t>Analysis of interpretations on the extent to which, and the ways in which</w:t>
            </w:r>
            <w:r w:rsidR="001A6892">
              <w:rPr>
                <w:i/>
              </w:rPr>
              <w:t>,</w:t>
            </w:r>
            <w:r w:rsidRPr="004941FE">
              <w:rPr>
                <w:i/>
              </w:rPr>
              <w:t xml:space="preserve"> Stalin’s agricultural policy succeeded.</w:t>
            </w:r>
          </w:p>
          <w:p w14:paraId="2E770D6A" w14:textId="77777777" w:rsidR="00AE58EC" w:rsidRPr="00C80EC3" w:rsidRDefault="00AE58EC" w:rsidP="009C08F6">
            <w:pPr>
              <w:pStyle w:val="Tabletextbullets"/>
              <w:numPr>
                <w:ilvl w:val="0"/>
                <w:numId w:val="0"/>
              </w:numPr>
              <w:rPr>
                <w:b/>
                <w:sz w:val="18"/>
                <w:szCs w:val="18"/>
              </w:rPr>
            </w:pPr>
          </w:p>
          <w:p w14:paraId="284A6C5B" w14:textId="77777777" w:rsidR="00734816" w:rsidRPr="00C80EC3" w:rsidRDefault="009C08F6" w:rsidP="009C08F6">
            <w:pPr>
              <w:pStyle w:val="Tabletextbullets"/>
              <w:numPr>
                <w:ilvl w:val="0"/>
                <w:numId w:val="0"/>
              </w:numPr>
              <w:rPr>
                <w:b/>
                <w:szCs w:val="18"/>
              </w:rPr>
            </w:pPr>
            <w:r w:rsidRPr="008F7BF9">
              <w:rPr>
                <w:b/>
                <w:szCs w:val="20"/>
              </w:rPr>
              <w:t>Key topic 4.</w:t>
            </w:r>
            <w:r w:rsidR="00AE58EC" w:rsidRPr="00C80EC3">
              <w:rPr>
                <w:b/>
                <w:szCs w:val="18"/>
              </w:rPr>
              <w:t>2</w:t>
            </w:r>
            <w:r w:rsidRPr="00C80EC3">
              <w:rPr>
                <w:b/>
                <w:szCs w:val="18"/>
              </w:rPr>
              <w:t xml:space="preserve"> </w:t>
            </w:r>
            <w:r w:rsidR="005E398E" w:rsidRPr="00C80EC3">
              <w:rPr>
                <w:b/>
                <w:szCs w:val="18"/>
              </w:rPr>
              <w:t>Changes in industry</w:t>
            </w:r>
          </w:p>
          <w:p w14:paraId="4A2BB886" w14:textId="77777777" w:rsidR="005E398E" w:rsidRPr="00C80EC3" w:rsidRDefault="005E398E" w:rsidP="004941FE">
            <w:pPr>
              <w:pStyle w:val="Tabletextbullets"/>
              <w:rPr>
                <w:b/>
              </w:rPr>
            </w:pPr>
            <w:r w:rsidRPr="00C80EC3">
              <w:t xml:space="preserve">Stalin's motives for rapid industrialisation, including the failings of the NEP. </w:t>
            </w:r>
          </w:p>
          <w:p w14:paraId="0A52C1E0" w14:textId="77777777" w:rsidR="005E398E" w:rsidRPr="00C80EC3" w:rsidRDefault="005E398E" w:rsidP="004941FE">
            <w:pPr>
              <w:pStyle w:val="Tabletextbullets"/>
              <w:rPr>
                <w:b/>
              </w:rPr>
            </w:pPr>
            <w:r w:rsidRPr="00C80EC3">
              <w:t xml:space="preserve">Gosplan, Five-Year Plans and the Stakhanovite Movement. </w:t>
            </w:r>
          </w:p>
          <w:p w14:paraId="23E47602" w14:textId="77777777" w:rsidR="005E398E" w:rsidRPr="000D2D9E" w:rsidRDefault="00D62045" w:rsidP="004941FE">
            <w:pPr>
              <w:pStyle w:val="Tabletextbullets"/>
              <w:rPr>
                <w:b/>
              </w:rPr>
            </w:pPr>
            <w:r w:rsidRPr="00C80EC3">
              <w:rPr>
                <w:i/>
              </w:rPr>
              <w:t>Source utility</w:t>
            </w:r>
          </w:p>
        </w:tc>
      </w:tr>
      <w:tr w:rsidR="00734816" w:rsidRPr="00C82725" w14:paraId="3F46F1A8" w14:textId="77777777" w:rsidTr="00EB304F">
        <w:trPr>
          <w:cantSplit/>
          <w:trHeight w:val="400"/>
        </w:trPr>
        <w:tc>
          <w:tcPr>
            <w:tcW w:w="382" w:type="pct"/>
            <w:tcBorders>
              <w:top w:val="single" w:sz="4" w:space="0" w:color="999999"/>
              <w:bottom w:val="single" w:sz="4" w:space="0" w:color="999999"/>
            </w:tcBorders>
            <w:shd w:val="clear" w:color="auto" w:fill="auto"/>
          </w:tcPr>
          <w:p w14:paraId="440697A0" w14:textId="77777777" w:rsidR="00734816" w:rsidRPr="00C80EC3" w:rsidRDefault="00137693" w:rsidP="00EB304F">
            <w:pPr>
              <w:pStyle w:val="textbullets"/>
              <w:numPr>
                <w:ilvl w:val="0"/>
                <w:numId w:val="0"/>
              </w:numPr>
              <w:tabs>
                <w:tab w:val="clear" w:pos="964"/>
              </w:tabs>
              <w:spacing w:before="60"/>
              <w:jc w:val="center"/>
              <w:rPr>
                <w:rFonts w:cs="Arial"/>
                <w:szCs w:val="18"/>
              </w:rPr>
            </w:pPr>
            <w:r w:rsidRPr="00C80EC3">
              <w:rPr>
                <w:rFonts w:cs="Arial"/>
                <w:szCs w:val="18"/>
              </w:rPr>
              <w:lastRenderedPageBreak/>
              <w:t>15</w:t>
            </w:r>
          </w:p>
        </w:tc>
        <w:tc>
          <w:tcPr>
            <w:tcW w:w="4618" w:type="pct"/>
            <w:tcBorders>
              <w:top w:val="single" w:sz="4" w:space="0" w:color="999999"/>
              <w:bottom w:val="single" w:sz="4" w:space="0" w:color="999999"/>
            </w:tcBorders>
          </w:tcPr>
          <w:p w14:paraId="4BF3BB67" w14:textId="77777777" w:rsidR="00C80EC3" w:rsidRPr="004941FE" w:rsidRDefault="00C80EC3" w:rsidP="004941FE">
            <w:pPr>
              <w:pStyle w:val="Tabletextbullets"/>
            </w:pPr>
            <w:r w:rsidRPr="004941FE">
              <w:t>The successes and failures of industrialisation.</w:t>
            </w:r>
          </w:p>
          <w:p w14:paraId="606935EF" w14:textId="77777777" w:rsidR="00D62045" w:rsidRPr="004941FE" w:rsidRDefault="000D2D9E" w:rsidP="004941FE">
            <w:pPr>
              <w:pStyle w:val="Tabletextbullets"/>
              <w:rPr>
                <w:b/>
                <w:i/>
                <w:sz w:val="18"/>
              </w:rPr>
            </w:pPr>
            <w:r w:rsidRPr="004941FE">
              <w:rPr>
                <w:i/>
              </w:rPr>
              <w:t xml:space="preserve">Evaluation </w:t>
            </w:r>
            <w:r w:rsidR="00C80EC3" w:rsidRPr="004941FE">
              <w:rPr>
                <w:i/>
              </w:rPr>
              <w:t>of interpretations on the success of Stalin’s industrial</w:t>
            </w:r>
            <w:r w:rsidR="009B57B4" w:rsidRPr="004941FE">
              <w:rPr>
                <w:i/>
              </w:rPr>
              <w:t xml:space="preserve"> policy </w:t>
            </w:r>
            <w:r w:rsidRPr="004941FE">
              <w:rPr>
                <w:i/>
              </w:rPr>
              <w:t>and</w:t>
            </w:r>
            <w:r w:rsidR="009B57B4" w:rsidRPr="004941FE">
              <w:rPr>
                <w:i/>
              </w:rPr>
              <w:t xml:space="preserve"> economic policy to 1941</w:t>
            </w:r>
            <w:r w:rsidR="00C80EC3" w:rsidRPr="004941FE">
              <w:rPr>
                <w:i/>
              </w:rPr>
              <w:t>.</w:t>
            </w:r>
          </w:p>
        </w:tc>
      </w:tr>
      <w:tr w:rsidR="00734816" w:rsidRPr="00C82725" w14:paraId="57083834" w14:textId="77777777" w:rsidTr="00EB304F">
        <w:trPr>
          <w:cantSplit/>
          <w:trHeight w:val="400"/>
        </w:trPr>
        <w:tc>
          <w:tcPr>
            <w:tcW w:w="382" w:type="pct"/>
            <w:tcBorders>
              <w:top w:val="single" w:sz="4" w:space="0" w:color="999999"/>
              <w:bottom w:val="single" w:sz="4" w:space="0" w:color="999999"/>
            </w:tcBorders>
            <w:shd w:val="clear" w:color="auto" w:fill="auto"/>
          </w:tcPr>
          <w:p w14:paraId="1FB1A016" w14:textId="77777777" w:rsidR="00734816" w:rsidRPr="00C80EC3" w:rsidRDefault="00137693" w:rsidP="00EB304F">
            <w:pPr>
              <w:pStyle w:val="textbullets"/>
              <w:numPr>
                <w:ilvl w:val="0"/>
                <w:numId w:val="0"/>
              </w:numPr>
              <w:tabs>
                <w:tab w:val="clear" w:pos="964"/>
              </w:tabs>
              <w:spacing w:before="60"/>
              <w:jc w:val="center"/>
              <w:rPr>
                <w:rFonts w:cs="Arial"/>
                <w:szCs w:val="18"/>
              </w:rPr>
            </w:pPr>
            <w:r w:rsidRPr="00C80EC3">
              <w:rPr>
                <w:rFonts w:cs="Arial"/>
                <w:szCs w:val="18"/>
              </w:rPr>
              <w:t>16</w:t>
            </w:r>
          </w:p>
        </w:tc>
        <w:tc>
          <w:tcPr>
            <w:tcW w:w="4618" w:type="pct"/>
            <w:tcBorders>
              <w:top w:val="single" w:sz="4" w:space="0" w:color="999999"/>
              <w:bottom w:val="single" w:sz="4" w:space="0" w:color="999999"/>
            </w:tcBorders>
          </w:tcPr>
          <w:p w14:paraId="7C572E9A" w14:textId="77777777" w:rsidR="00C80EC3" w:rsidRPr="00C80EC3" w:rsidRDefault="00C80EC3" w:rsidP="00006676">
            <w:pPr>
              <w:pStyle w:val="textbullets"/>
              <w:numPr>
                <w:ilvl w:val="0"/>
                <w:numId w:val="0"/>
              </w:numPr>
              <w:tabs>
                <w:tab w:val="clear" w:pos="964"/>
              </w:tabs>
              <w:spacing w:before="60" w:line="200" w:lineRule="atLeast"/>
              <w:ind w:right="6"/>
              <w:rPr>
                <w:szCs w:val="18"/>
              </w:rPr>
            </w:pPr>
            <w:r w:rsidRPr="008F7BF9">
              <w:rPr>
                <w:b/>
                <w:szCs w:val="20"/>
              </w:rPr>
              <w:t>Key topic 4.3</w:t>
            </w:r>
            <w:r w:rsidRPr="00C80EC3">
              <w:rPr>
                <w:b/>
                <w:szCs w:val="18"/>
              </w:rPr>
              <w:t xml:space="preserve"> </w:t>
            </w:r>
            <w:r w:rsidRPr="00C80EC3">
              <w:rPr>
                <w:rFonts w:cs="Arial"/>
                <w:b/>
                <w:szCs w:val="18"/>
                <w:lang w:eastAsia="en-US"/>
              </w:rPr>
              <w:t xml:space="preserve">Life in the Soviet Union </w:t>
            </w:r>
          </w:p>
          <w:p w14:paraId="37A3B625" w14:textId="77777777" w:rsidR="00C80EC3" w:rsidRPr="00C80EC3" w:rsidRDefault="00C80EC3" w:rsidP="004941FE">
            <w:pPr>
              <w:pStyle w:val="Tabletextbullets"/>
            </w:pPr>
            <w:r w:rsidRPr="00C80EC3">
              <w:t xml:space="preserve">Living and working conditions in towns and the countryside. </w:t>
            </w:r>
          </w:p>
          <w:p w14:paraId="1E8F6802" w14:textId="77777777" w:rsidR="00C80EC3" w:rsidRPr="00C80EC3" w:rsidRDefault="00C80EC3" w:rsidP="004941FE">
            <w:pPr>
              <w:pStyle w:val="Tabletextbullets"/>
            </w:pPr>
            <w:r w:rsidRPr="00C80EC3">
              <w:t>The differing experiences of social groups.</w:t>
            </w:r>
          </w:p>
          <w:p w14:paraId="7E95E1E6" w14:textId="42EFFB02" w:rsidR="00D62045" w:rsidRPr="004941FE" w:rsidRDefault="00FD6B3C" w:rsidP="004941FE">
            <w:pPr>
              <w:pStyle w:val="Tabletextbullets"/>
              <w:rPr>
                <w:i/>
              </w:rPr>
            </w:pPr>
            <w:r>
              <w:rPr>
                <w:i/>
              </w:rPr>
              <w:t>Why interpretations differ</w:t>
            </w:r>
          </w:p>
        </w:tc>
      </w:tr>
      <w:tr w:rsidR="00734816" w:rsidRPr="00C82725" w14:paraId="70CA31EF" w14:textId="77777777" w:rsidTr="00EB304F">
        <w:trPr>
          <w:cantSplit/>
          <w:trHeight w:val="400"/>
        </w:trPr>
        <w:tc>
          <w:tcPr>
            <w:tcW w:w="382" w:type="pct"/>
            <w:tcBorders>
              <w:top w:val="single" w:sz="4" w:space="0" w:color="999999"/>
              <w:bottom w:val="single" w:sz="4" w:space="0" w:color="999999"/>
            </w:tcBorders>
            <w:shd w:val="clear" w:color="auto" w:fill="auto"/>
          </w:tcPr>
          <w:p w14:paraId="71610246" w14:textId="77777777" w:rsidR="00734816" w:rsidRPr="00C80EC3" w:rsidRDefault="00137693" w:rsidP="00EB304F">
            <w:pPr>
              <w:pStyle w:val="textbullets"/>
              <w:numPr>
                <w:ilvl w:val="0"/>
                <w:numId w:val="0"/>
              </w:numPr>
              <w:tabs>
                <w:tab w:val="clear" w:pos="964"/>
              </w:tabs>
              <w:spacing w:before="60"/>
              <w:jc w:val="center"/>
              <w:rPr>
                <w:rFonts w:cs="Arial"/>
                <w:szCs w:val="18"/>
              </w:rPr>
            </w:pPr>
            <w:r w:rsidRPr="00C80EC3">
              <w:rPr>
                <w:rFonts w:cs="Arial"/>
                <w:szCs w:val="18"/>
              </w:rPr>
              <w:t>17</w:t>
            </w:r>
          </w:p>
        </w:tc>
        <w:tc>
          <w:tcPr>
            <w:tcW w:w="4618" w:type="pct"/>
            <w:tcBorders>
              <w:top w:val="single" w:sz="4" w:space="0" w:color="999999"/>
              <w:bottom w:val="single" w:sz="4" w:space="0" w:color="999999"/>
            </w:tcBorders>
          </w:tcPr>
          <w:p w14:paraId="31A11A09" w14:textId="77777777" w:rsidR="00D64D0B" w:rsidRPr="00C80EC3" w:rsidRDefault="00D64D0B" w:rsidP="00D64D0B">
            <w:pPr>
              <w:pStyle w:val="Tabletextbullets"/>
              <w:numPr>
                <w:ilvl w:val="0"/>
                <w:numId w:val="0"/>
              </w:numPr>
              <w:ind w:left="397" w:hanging="397"/>
              <w:rPr>
                <w:b/>
                <w:szCs w:val="18"/>
              </w:rPr>
            </w:pPr>
            <w:r w:rsidRPr="008F7BF9">
              <w:rPr>
                <w:b/>
                <w:szCs w:val="20"/>
              </w:rPr>
              <w:t>Key topic 4.4</w:t>
            </w:r>
            <w:r w:rsidRPr="00C80EC3">
              <w:rPr>
                <w:b/>
                <w:szCs w:val="18"/>
              </w:rPr>
              <w:t xml:space="preserve"> </w:t>
            </w:r>
            <w:r w:rsidR="00C80EC3" w:rsidRPr="00C80EC3">
              <w:rPr>
                <w:b/>
                <w:szCs w:val="18"/>
              </w:rPr>
              <w:t>The position of women and ethnic minorities</w:t>
            </w:r>
          </w:p>
          <w:p w14:paraId="0C70A69C" w14:textId="77777777" w:rsidR="00C80EC3" w:rsidRPr="00C80EC3" w:rsidRDefault="00C80EC3" w:rsidP="004941FE">
            <w:pPr>
              <w:pStyle w:val="Tabletextbullets"/>
            </w:pPr>
            <w:r w:rsidRPr="00C80EC3">
              <w:t xml:space="preserve">Changes in family life and employment and the political position of women. </w:t>
            </w:r>
          </w:p>
          <w:p w14:paraId="58B47242" w14:textId="77777777" w:rsidR="00C80EC3" w:rsidRPr="00C80EC3" w:rsidRDefault="00C80EC3" w:rsidP="004941FE">
            <w:pPr>
              <w:pStyle w:val="Tabletextbullets"/>
            </w:pPr>
            <w:r w:rsidRPr="00C80EC3">
              <w:t xml:space="preserve">Reasons for, and features of, the persecution of ethnic minorities. </w:t>
            </w:r>
          </w:p>
          <w:p w14:paraId="1D9021AD" w14:textId="77777777" w:rsidR="00D62045" w:rsidRPr="004941FE" w:rsidRDefault="00D62045" w:rsidP="004941FE">
            <w:pPr>
              <w:pStyle w:val="Tabletextbullets"/>
              <w:rPr>
                <w:i/>
              </w:rPr>
            </w:pPr>
            <w:r w:rsidRPr="004941FE">
              <w:rPr>
                <w:i/>
              </w:rPr>
              <w:t>Source utility</w:t>
            </w:r>
          </w:p>
          <w:p w14:paraId="3D689934" w14:textId="77777777" w:rsidR="00263A65" w:rsidRPr="000D2D9E" w:rsidRDefault="000D2D9E" w:rsidP="004941FE">
            <w:pPr>
              <w:pStyle w:val="Tabletextbullets"/>
            </w:pPr>
            <w:r w:rsidRPr="004941FE">
              <w:rPr>
                <w:i/>
              </w:rPr>
              <w:t xml:space="preserve">Evaluation </w:t>
            </w:r>
            <w:r w:rsidR="00D62045" w:rsidRPr="004941FE">
              <w:rPr>
                <w:i/>
              </w:rPr>
              <w:t xml:space="preserve">of interpretations on the effects of Communism on </w:t>
            </w:r>
            <w:r w:rsidR="00C80EC3" w:rsidRPr="004941FE">
              <w:rPr>
                <w:i/>
              </w:rPr>
              <w:t>the role and status of women.</w:t>
            </w:r>
          </w:p>
        </w:tc>
      </w:tr>
      <w:tr w:rsidR="00734816" w:rsidRPr="002B4ED0" w14:paraId="09609EE9" w14:textId="77777777" w:rsidTr="00EB304F">
        <w:trPr>
          <w:cantSplit/>
          <w:trHeight w:val="400"/>
        </w:trPr>
        <w:tc>
          <w:tcPr>
            <w:tcW w:w="382" w:type="pct"/>
            <w:tcBorders>
              <w:top w:val="single" w:sz="4" w:space="0" w:color="999999"/>
              <w:bottom w:val="single" w:sz="4" w:space="0" w:color="999999"/>
            </w:tcBorders>
            <w:shd w:val="clear" w:color="auto" w:fill="auto"/>
          </w:tcPr>
          <w:p w14:paraId="17EA9A0F" w14:textId="77777777" w:rsidR="00734816" w:rsidRPr="00C80EC3" w:rsidRDefault="00137693" w:rsidP="00EB304F">
            <w:pPr>
              <w:pStyle w:val="textbullets"/>
              <w:numPr>
                <w:ilvl w:val="0"/>
                <w:numId w:val="0"/>
              </w:numPr>
              <w:tabs>
                <w:tab w:val="clear" w:pos="964"/>
              </w:tabs>
              <w:spacing w:before="60"/>
              <w:jc w:val="center"/>
              <w:rPr>
                <w:rFonts w:cs="Arial"/>
                <w:szCs w:val="18"/>
              </w:rPr>
            </w:pPr>
            <w:r w:rsidRPr="00C80EC3">
              <w:rPr>
                <w:rFonts w:cs="Arial"/>
                <w:szCs w:val="18"/>
              </w:rPr>
              <w:t>18</w:t>
            </w:r>
          </w:p>
        </w:tc>
        <w:tc>
          <w:tcPr>
            <w:tcW w:w="4618" w:type="pct"/>
            <w:tcBorders>
              <w:top w:val="single" w:sz="4" w:space="0" w:color="999999"/>
              <w:bottom w:val="single" w:sz="4" w:space="0" w:color="999999"/>
            </w:tcBorders>
            <w:vAlign w:val="center"/>
          </w:tcPr>
          <w:p w14:paraId="1E24EB39" w14:textId="77777777" w:rsidR="00734816" w:rsidRPr="004941FE" w:rsidRDefault="00734816" w:rsidP="004941FE">
            <w:pPr>
              <w:pStyle w:val="Tabletextbullets"/>
              <w:rPr>
                <w:i/>
              </w:rPr>
            </w:pPr>
            <w:r w:rsidRPr="004941FE">
              <w:rPr>
                <w:i/>
              </w:rPr>
              <w:t xml:space="preserve">Review and assessment of </w:t>
            </w:r>
            <w:r w:rsidR="00C80EC3" w:rsidRPr="004941FE">
              <w:rPr>
                <w:i/>
              </w:rPr>
              <w:t>Russia and the Soviet Union, 1917–41</w:t>
            </w:r>
          </w:p>
        </w:tc>
      </w:tr>
    </w:tbl>
    <w:p w14:paraId="5ABD02C5" w14:textId="77777777" w:rsidR="004F15B2" w:rsidRDefault="004F15B2" w:rsidP="00A07B51">
      <w:pPr>
        <w:pStyle w:val="text"/>
        <w:ind w:left="0"/>
      </w:pPr>
    </w:p>
    <w:p w14:paraId="20202D44" w14:textId="77777777" w:rsidR="001A6892" w:rsidRDefault="001A6892" w:rsidP="00A07B51">
      <w:pPr>
        <w:pStyle w:val="text"/>
        <w:ind w:left="0"/>
      </w:pPr>
    </w:p>
    <w:sectPr w:rsidR="001A6892" w:rsidSect="00316446">
      <w:headerReference w:type="even" r:id="rId17"/>
      <w:headerReference w:type="default" r:id="rId18"/>
      <w:pgSz w:w="16840" w:h="11900" w:orient="landscape" w:code="9"/>
      <w:pgMar w:top="1418" w:right="1418" w:bottom="1418" w:left="1134"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D5DA" w14:textId="77777777" w:rsidR="008C0078" w:rsidRDefault="008C0078">
      <w:r>
        <w:separator/>
      </w:r>
    </w:p>
  </w:endnote>
  <w:endnote w:type="continuationSeparator" w:id="0">
    <w:p w14:paraId="2E7BCEBA" w14:textId="77777777" w:rsidR="008C0078" w:rsidRDefault="008C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Bold">
    <w:altName w:val="Verdana"/>
    <w:panose1 w:val="020B080403050404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6736D" w14:textId="77777777" w:rsidR="00D924E0" w:rsidRDefault="006D514C">
    <w:pPr>
      <w:pStyle w:val="Footer"/>
    </w:pPr>
    <w:r>
      <w:rPr>
        <w:noProof/>
        <w:lang w:eastAsia="en-GB"/>
      </w:rPr>
      <w:pict w14:anchorId="4AD30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3.15pt;margin-top:-21.75pt;width:813.55pt;height:40pt;z-index:3;mso-wrap-edited:f">
          <v:imagedata r:id="rId1" o:title="GCSE landscape bottom"/>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8BCA" w14:textId="77777777" w:rsidR="00D924E0" w:rsidRDefault="006D514C" w:rsidP="00D26FB7">
    <w:r>
      <w:rPr>
        <w:noProof/>
        <w:lang w:eastAsia="en-GB"/>
      </w:rPr>
      <w:pict w14:anchorId="23364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2.25pt;margin-top:-21.25pt;width:813.55pt;height:40pt;z-index:2;mso-wrap-edited:f">
          <v:imagedata r:id="rId1" o:title="GCSE landscape bottom"/>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189" w14:textId="77777777" w:rsidR="002261A0" w:rsidRDefault="00665E5A" w:rsidP="002261A0">
    <w:pPr>
      <w:pStyle w:val="Footer"/>
    </w:pPr>
    <w:r>
      <w:t xml:space="preserve">Issue </w:t>
    </w:r>
    <w:r w:rsidR="00DB4293">
      <w:t xml:space="preserve">3 </w:t>
    </w:r>
    <w:r w:rsidR="002261A0">
      <w:t>© Pearson</w:t>
    </w:r>
    <w:r>
      <w:t xml:space="preserve"> Education Ltd</w:t>
    </w:r>
    <w:r w:rsidR="002261A0">
      <w:t xml:space="preserve"> 20</w:t>
    </w:r>
    <w:r>
      <w:t>2</w:t>
    </w:r>
    <w:r w:rsidR="00DB4293">
      <w:t>4</w:t>
    </w:r>
  </w:p>
  <w:p w14:paraId="79409C47" w14:textId="77777777" w:rsidR="002261A0" w:rsidRDefault="002261A0" w:rsidP="002261A0">
    <w:pPr>
      <w:pStyle w:val="Footer"/>
      <w:jc w:val="center"/>
    </w:pPr>
    <w:r>
      <w:fldChar w:fldCharType="begin"/>
    </w:r>
    <w:r>
      <w:instrText xml:space="preserve"> PAGE   \* MERGEFORMAT </w:instrText>
    </w:r>
    <w:r>
      <w:fldChar w:fldCharType="separate"/>
    </w:r>
    <w:r w:rsidR="00C731C3">
      <w:rPr>
        <w:noProof/>
      </w:rPr>
      <w:t>4</w:t>
    </w:r>
    <w:r>
      <w:fldChar w:fldCharType="end"/>
    </w:r>
  </w:p>
  <w:p w14:paraId="3EB84535" w14:textId="77777777" w:rsidR="00446982" w:rsidRDefault="004469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EEB4" w14:textId="77777777" w:rsidR="002261A0" w:rsidRDefault="00665E5A" w:rsidP="002261A0">
    <w:pPr>
      <w:pStyle w:val="Footer"/>
    </w:pPr>
    <w:r>
      <w:t xml:space="preserve">Issue </w:t>
    </w:r>
    <w:r w:rsidR="00DB4293">
      <w:t>3</w:t>
    </w:r>
    <w:r>
      <w:t xml:space="preserve"> © Pearson Education Ltd 202</w:t>
    </w:r>
    <w:r w:rsidR="00DB4293">
      <w:t>4</w:t>
    </w:r>
  </w:p>
  <w:p w14:paraId="04CC5047" w14:textId="77777777" w:rsidR="002261A0" w:rsidRDefault="002261A0" w:rsidP="002261A0">
    <w:pPr>
      <w:pStyle w:val="Footer"/>
      <w:jc w:val="center"/>
    </w:pPr>
    <w:r>
      <w:fldChar w:fldCharType="begin"/>
    </w:r>
    <w:r>
      <w:instrText xml:space="preserve"> PAGE   \* MERGEFORMAT </w:instrText>
    </w:r>
    <w:r>
      <w:fldChar w:fldCharType="separate"/>
    </w:r>
    <w:r w:rsidR="00C731C3">
      <w:rPr>
        <w:noProof/>
      </w:rPr>
      <w:t>1</w:t>
    </w:r>
    <w:r>
      <w:fldChar w:fldCharType="end"/>
    </w:r>
  </w:p>
  <w:p w14:paraId="2D3061F3" w14:textId="77777777" w:rsidR="00446982" w:rsidRDefault="00446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F2D4E" w14:textId="77777777" w:rsidR="008C0078" w:rsidRDefault="008C0078">
      <w:r>
        <w:separator/>
      </w:r>
    </w:p>
  </w:footnote>
  <w:footnote w:type="continuationSeparator" w:id="0">
    <w:p w14:paraId="1103443E" w14:textId="77777777" w:rsidR="008C0078" w:rsidRDefault="008C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804F" w14:textId="77777777" w:rsidR="00D924E0" w:rsidRDefault="006D514C">
    <w:pPr>
      <w:pStyle w:val="Header"/>
    </w:pPr>
    <w:r>
      <w:rPr>
        <w:noProof/>
      </w:rPr>
      <w:pict w14:anchorId="30D73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6.7pt;margin-top:-28.25pt;width:845pt;height:596.4pt;z-index:-1;mso-wrap-edited:f">
          <v:imagedata r:id="rId1" o:title="GCSE_History_L"/>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8F85C" w14:textId="77777777" w:rsidR="00D924E0" w:rsidRDefault="006D514C">
    <w:pPr>
      <w:pStyle w:val="Header"/>
    </w:pPr>
    <w:r>
      <w:rPr>
        <w:noProof/>
        <w:lang w:eastAsia="en-GB"/>
      </w:rPr>
      <w:pict w14:anchorId="1C3E7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841.9pt;height:595.7pt;z-index:1;mso-wrap-edited:f;mso-position-horizontal:left;mso-position-horizontal-relative:page;mso-position-vertical:top;mso-position-vertical-relative:page">
          <v:imagedata r:id="rId1" o:title="GCSE_FrenchLscapeFCwDraftStamp"/>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85AB2" w14:textId="77777777" w:rsidR="00446982" w:rsidRDefault="006D514C" w:rsidP="00007504">
    <w:pPr>
      <w:pStyle w:val="IconRight"/>
      <w:framePr w:wrap="around"/>
    </w:pPr>
    <w:r>
      <w:rPr>
        <w:noProof/>
      </w:rPr>
      <w:pict w14:anchorId="73870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2.5pt;mso-position-horizontal-relative:page;mso-position-vertical-relative:page" o:allowoverlap="f">
          <v:imagedata r:id="rId1" o:title="LFABF_Green_Logo"/>
        </v:shape>
      </w:pict>
    </w:r>
  </w:p>
  <w:p w14:paraId="4EBC192F" w14:textId="77777777" w:rsidR="00446982" w:rsidRDefault="00446982" w:rsidP="00007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40DD" w14:textId="77777777" w:rsidR="00446982" w:rsidRDefault="00446982" w:rsidP="00007504">
    <w:pPr>
      <w:pStyle w:val="Icon"/>
      <w:framePr w:wrap="around"/>
    </w:pPr>
  </w:p>
  <w:p w14:paraId="27B7295D" w14:textId="77777777" w:rsidR="00446982" w:rsidRDefault="00446982" w:rsidP="00007504">
    <w:pPr>
      <w:pStyle w:val="HeaderOd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34D0" w14:textId="77777777" w:rsidR="00446982" w:rsidRDefault="00446982" w:rsidP="00007504">
    <w:pPr>
      <w:pStyle w:val="IconRight"/>
      <w:framePr w:wrap="around"/>
    </w:pPr>
  </w:p>
  <w:p w14:paraId="7881E98C" w14:textId="77777777" w:rsidR="00446982" w:rsidRDefault="00446982" w:rsidP="002A49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AD86" w14:textId="77777777" w:rsidR="00446982" w:rsidRPr="002A4917" w:rsidRDefault="00446982" w:rsidP="002A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B2B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064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FE48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1E01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C6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C13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EF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36F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C4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AAE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E0F42"/>
    <w:multiLevelType w:val="hybridMultilevel"/>
    <w:tmpl w:val="29AAAA6C"/>
    <w:lvl w:ilvl="0" w:tplc="48647D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4DE59B0"/>
    <w:multiLevelType w:val="hybridMultilevel"/>
    <w:tmpl w:val="5D62F36C"/>
    <w:lvl w:ilvl="0" w:tplc="3C004064">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BC210A"/>
    <w:multiLevelType w:val="hybridMultilevel"/>
    <w:tmpl w:val="8F8C710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97BDA"/>
    <w:multiLevelType w:val="hybridMultilevel"/>
    <w:tmpl w:val="5750E95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1E5D0997"/>
    <w:multiLevelType w:val="hybridMultilevel"/>
    <w:tmpl w:val="47B8E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D63D45"/>
    <w:multiLevelType w:val="hybridMultilevel"/>
    <w:tmpl w:val="5EDA4F56"/>
    <w:lvl w:ilvl="0" w:tplc="D92E6444">
      <w:start w:val="1"/>
      <w:numFmt w:val="bullet"/>
      <w:pStyle w:val="Unithead"/>
      <w:lvlText w:val="●"/>
      <w:lvlJc w:val="left"/>
      <w:pPr>
        <w:tabs>
          <w:tab w:val="num" w:pos="360"/>
        </w:tabs>
        <w:ind w:left="360" w:hanging="360"/>
      </w:pPr>
      <w:rPr>
        <w:rFonts w:ascii="Verdana" w:hAnsi="Verdana" w:hint="default"/>
        <w:b w:val="0"/>
        <w:i w:val="0"/>
        <w:color w:val="auto"/>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22BF1"/>
    <w:multiLevelType w:val="hybridMultilevel"/>
    <w:tmpl w:val="21BC9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026756"/>
    <w:multiLevelType w:val="hybridMultilevel"/>
    <w:tmpl w:val="7160EC94"/>
    <w:lvl w:ilvl="0" w:tplc="8458B106">
      <w:start w:val="1"/>
      <w:numFmt w:val="bullet"/>
      <w:lvlText w:val="●"/>
      <w:lvlJc w:val="left"/>
      <w:pPr>
        <w:tabs>
          <w:tab w:val="num" w:pos="360"/>
        </w:tabs>
        <w:ind w:left="360" w:hanging="360"/>
      </w:pPr>
      <w:rPr>
        <w:rFonts w:ascii="Verdana" w:hAnsi="Verdana" w:hint="default"/>
        <w:b w:val="0"/>
        <w:i w:val="0"/>
        <w:color w:val="auto"/>
        <w:sz w:val="16"/>
        <w:szCs w:val="16"/>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90290E"/>
    <w:multiLevelType w:val="multilevel"/>
    <w:tmpl w:val="80E43E76"/>
    <w:numStyleLink w:val="Listnum"/>
  </w:abstractNum>
  <w:abstractNum w:abstractNumId="24" w15:restartNumberingAfterBreak="0">
    <w:nsid w:val="2A634C4B"/>
    <w:multiLevelType w:val="hybridMultilevel"/>
    <w:tmpl w:val="FACAC444"/>
    <w:lvl w:ilvl="0" w:tplc="FFFFFFFF">
      <w:start w:val="1"/>
      <w:numFmt w:val="bullet"/>
      <w:pStyle w:val="Feature1textbullets"/>
      <w:lvlText w:val="●"/>
      <w:lvlJc w:val="left"/>
      <w:pPr>
        <w:tabs>
          <w:tab w:val="num" w:pos="505"/>
        </w:tabs>
        <w:ind w:left="505" w:hanging="397"/>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F3715"/>
    <w:multiLevelType w:val="multilevel"/>
    <w:tmpl w:val="80E43E76"/>
    <w:numStyleLink w:val="Listnum"/>
  </w:abstractNum>
  <w:abstractNum w:abstractNumId="26" w15:restartNumberingAfterBreak="0">
    <w:nsid w:val="36242EA8"/>
    <w:multiLevelType w:val="hybridMultilevel"/>
    <w:tmpl w:val="4B9AC3B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0D7980"/>
    <w:multiLevelType w:val="hybridMultilevel"/>
    <w:tmpl w:val="005C004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DC31204"/>
    <w:multiLevelType w:val="hybridMultilevel"/>
    <w:tmpl w:val="ACBE7FFE"/>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CC4D75"/>
    <w:multiLevelType w:val="hybridMultilevel"/>
    <w:tmpl w:val="AB06B9D6"/>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EA6604"/>
    <w:multiLevelType w:val="hybridMultilevel"/>
    <w:tmpl w:val="0BD8CC68"/>
    <w:lvl w:ilvl="0" w:tplc="48647D16">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A160CD"/>
    <w:multiLevelType w:val="hybridMultilevel"/>
    <w:tmpl w:val="C6FE8F00"/>
    <w:lvl w:ilvl="0" w:tplc="48647D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2E764F2"/>
    <w:multiLevelType w:val="hybridMultilevel"/>
    <w:tmpl w:val="9DE621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4164966"/>
    <w:multiLevelType w:val="hybridMultilevel"/>
    <w:tmpl w:val="5A0E2A64"/>
    <w:lvl w:ilvl="0" w:tplc="48647D16">
      <w:start w:val="1"/>
      <w:numFmt w:val="bullet"/>
      <w:lvlText w:val=""/>
      <w:lvlJc w:val="left"/>
      <w:pPr>
        <w:ind w:left="664" w:hanging="360"/>
      </w:pPr>
      <w:rPr>
        <w:rFonts w:ascii="Symbol" w:hAnsi="Symbol" w:hint="default"/>
      </w:rPr>
    </w:lvl>
    <w:lvl w:ilvl="1" w:tplc="08090003" w:tentative="1">
      <w:start w:val="1"/>
      <w:numFmt w:val="bullet"/>
      <w:lvlText w:val="o"/>
      <w:lvlJc w:val="left"/>
      <w:pPr>
        <w:ind w:left="1384" w:hanging="360"/>
      </w:pPr>
      <w:rPr>
        <w:rFonts w:ascii="Courier New" w:hAnsi="Courier New" w:cs="Courier New" w:hint="default"/>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34" w15:restartNumberingAfterBreak="0">
    <w:nsid w:val="49BA375A"/>
    <w:multiLevelType w:val="hybridMultilevel"/>
    <w:tmpl w:val="46129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C786405"/>
    <w:multiLevelType w:val="hybridMultilevel"/>
    <w:tmpl w:val="A052D27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F077B4D"/>
    <w:multiLevelType w:val="hybridMultilevel"/>
    <w:tmpl w:val="300CBC1E"/>
    <w:lvl w:ilvl="0" w:tplc="48647D16">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7" w15:restartNumberingAfterBreak="0">
    <w:nsid w:val="4F745201"/>
    <w:multiLevelType w:val="hybridMultilevel"/>
    <w:tmpl w:val="57FE28D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E279B0"/>
    <w:multiLevelType w:val="multilevel"/>
    <w:tmpl w:val="29505346"/>
    <w:numStyleLink w:val="Listtable"/>
  </w:abstractNum>
  <w:abstractNum w:abstractNumId="39" w15:restartNumberingAfterBreak="0">
    <w:nsid w:val="65802BEA"/>
    <w:multiLevelType w:val="hybridMultilevel"/>
    <w:tmpl w:val="E1CA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D24E1B"/>
    <w:multiLevelType w:val="hybridMultilevel"/>
    <w:tmpl w:val="4E86F13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246464C"/>
    <w:multiLevelType w:val="hybridMultilevel"/>
    <w:tmpl w:val="B2F04BC6"/>
    <w:lvl w:ilvl="0" w:tplc="48647D1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4" w15:restartNumberingAfterBreak="0">
    <w:nsid w:val="75E357D0"/>
    <w:multiLevelType w:val="hybridMultilevel"/>
    <w:tmpl w:val="FCD06822"/>
    <w:lvl w:ilvl="0" w:tplc="48647D16">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9B4834"/>
    <w:multiLevelType w:val="hybridMultilevel"/>
    <w:tmpl w:val="73FAB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931159650">
    <w:abstractNumId w:val="46"/>
  </w:num>
  <w:num w:numId="2" w16cid:durableId="376509150">
    <w:abstractNumId w:val="43"/>
  </w:num>
  <w:num w:numId="3" w16cid:durableId="1998413852">
    <w:abstractNumId w:val="11"/>
  </w:num>
  <w:num w:numId="4" w16cid:durableId="1766924657">
    <w:abstractNumId w:val="44"/>
  </w:num>
  <w:num w:numId="5" w16cid:durableId="835417223">
    <w:abstractNumId w:val="24"/>
  </w:num>
  <w:num w:numId="6" w16cid:durableId="858087320">
    <w:abstractNumId w:val="25"/>
  </w:num>
  <w:num w:numId="7" w16cid:durableId="643855585">
    <w:abstractNumId w:val="23"/>
  </w:num>
  <w:num w:numId="8" w16cid:durableId="637881216">
    <w:abstractNumId w:val="41"/>
  </w:num>
  <w:num w:numId="9" w16cid:durableId="1057435767">
    <w:abstractNumId w:val="17"/>
  </w:num>
  <w:num w:numId="10" w16cid:durableId="306521573">
    <w:abstractNumId w:val="42"/>
  </w:num>
  <w:num w:numId="11" w16cid:durableId="90125207">
    <w:abstractNumId w:val="16"/>
  </w:num>
  <w:num w:numId="12" w16cid:durableId="1503349561">
    <w:abstractNumId w:val="38"/>
  </w:num>
  <w:num w:numId="13" w16cid:durableId="25981859">
    <w:abstractNumId w:val="9"/>
  </w:num>
  <w:num w:numId="14" w16cid:durableId="2050303749">
    <w:abstractNumId w:val="7"/>
  </w:num>
  <w:num w:numId="15" w16cid:durableId="352608306">
    <w:abstractNumId w:val="6"/>
  </w:num>
  <w:num w:numId="16" w16cid:durableId="511649380">
    <w:abstractNumId w:val="5"/>
  </w:num>
  <w:num w:numId="17" w16cid:durableId="1958020464">
    <w:abstractNumId w:val="4"/>
  </w:num>
  <w:num w:numId="18" w16cid:durableId="1411854340">
    <w:abstractNumId w:val="8"/>
  </w:num>
  <w:num w:numId="19" w16cid:durableId="1322345484">
    <w:abstractNumId w:val="3"/>
  </w:num>
  <w:num w:numId="20" w16cid:durableId="1893543585">
    <w:abstractNumId w:val="2"/>
  </w:num>
  <w:num w:numId="21" w16cid:durableId="385035892">
    <w:abstractNumId w:val="1"/>
  </w:num>
  <w:num w:numId="22" w16cid:durableId="1705328318">
    <w:abstractNumId w:val="0"/>
  </w:num>
  <w:num w:numId="23" w16cid:durableId="1308821075">
    <w:abstractNumId w:val="12"/>
  </w:num>
  <w:num w:numId="24" w16cid:durableId="1114902428">
    <w:abstractNumId w:val="18"/>
  </w:num>
  <w:num w:numId="25" w16cid:durableId="422727674">
    <w:abstractNumId w:val="36"/>
  </w:num>
  <w:num w:numId="26" w16cid:durableId="1700355042">
    <w:abstractNumId w:val="35"/>
  </w:num>
  <w:num w:numId="27" w16cid:durableId="1006051629">
    <w:abstractNumId w:val="22"/>
  </w:num>
  <w:num w:numId="28" w16cid:durableId="34625015">
    <w:abstractNumId w:val="40"/>
  </w:num>
  <w:num w:numId="29" w16cid:durableId="619184440">
    <w:abstractNumId w:val="19"/>
  </w:num>
  <w:num w:numId="30" w16cid:durableId="2012442298">
    <w:abstractNumId w:val="42"/>
  </w:num>
  <w:num w:numId="31" w16cid:durableId="854881390">
    <w:abstractNumId w:val="13"/>
  </w:num>
  <w:num w:numId="32" w16cid:durableId="35474567">
    <w:abstractNumId w:val="33"/>
  </w:num>
  <w:num w:numId="33" w16cid:durableId="750657046">
    <w:abstractNumId w:val="30"/>
  </w:num>
  <w:num w:numId="34" w16cid:durableId="1681001456">
    <w:abstractNumId w:val="21"/>
  </w:num>
  <w:num w:numId="35" w16cid:durableId="775977648">
    <w:abstractNumId w:val="27"/>
  </w:num>
  <w:num w:numId="36" w16cid:durableId="1979143392">
    <w:abstractNumId w:val="45"/>
  </w:num>
  <w:num w:numId="37" w16cid:durableId="1799227203">
    <w:abstractNumId w:val="42"/>
  </w:num>
  <w:num w:numId="38" w16cid:durableId="1005589874">
    <w:abstractNumId w:val="39"/>
  </w:num>
  <w:num w:numId="39" w16cid:durableId="2114201340">
    <w:abstractNumId w:val="20"/>
  </w:num>
  <w:num w:numId="40" w16cid:durableId="1317760485">
    <w:abstractNumId w:val="34"/>
  </w:num>
  <w:num w:numId="41" w16cid:durableId="665982093">
    <w:abstractNumId w:val="32"/>
  </w:num>
  <w:num w:numId="42" w16cid:durableId="366369309">
    <w:abstractNumId w:val="28"/>
  </w:num>
  <w:num w:numId="43" w16cid:durableId="1556817456">
    <w:abstractNumId w:val="37"/>
  </w:num>
  <w:num w:numId="44" w16cid:durableId="723673727">
    <w:abstractNumId w:val="29"/>
  </w:num>
  <w:num w:numId="45" w16cid:durableId="1539858802">
    <w:abstractNumId w:val="14"/>
  </w:num>
  <w:num w:numId="46" w16cid:durableId="280965959">
    <w:abstractNumId w:val="15"/>
  </w:num>
  <w:num w:numId="47" w16cid:durableId="1468207767">
    <w:abstractNumId w:val="10"/>
  </w:num>
  <w:num w:numId="48" w16cid:durableId="1757634792">
    <w:abstractNumId w:val="31"/>
  </w:num>
  <w:num w:numId="49" w16cid:durableId="1594430990">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evenAndOddHeaders/>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E55"/>
    <w:rsid w:val="00003F80"/>
    <w:rsid w:val="00006676"/>
    <w:rsid w:val="00007504"/>
    <w:rsid w:val="00037743"/>
    <w:rsid w:val="00056EC0"/>
    <w:rsid w:val="000A6EC6"/>
    <w:rsid w:val="000B32B0"/>
    <w:rsid w:val="000D1FB8"/>
    <w:rsid w:val="000D2D9E"/>
    <w:rsid w:val="000F13F9"/>
    <w:rsid w:val="000F1D1D"/>
    <w:rsid w:val="000F4192"/>
    <w:rsid w:val="000F4ED5"/>
    <w:rsid w:val="001147CD"/>
    <w:rsid w:val="00130940"/>
    <w:rsid w:val="00137693"/>
    <w:rsid w:val="00147748"/>
    <w:rsid w:val="00190A77"/>
    <w:rsid w:val="001A174D"/>
    <w:rsid w:val="001A6892"/>
    <w:rsid w:val="001B3491"/>
    <w:rsid w:val="001D76E6"/>
    <w:rsid w:val="001E70E6"/>
    <w:rsid w:val="002108C6"/>
    <w:rsid w:val="002229E7"/>
    <w:rsid w:val="002261A0"/>
    <w:rsid w:val="00263A65"/>
    <w:rsid w:val="00282954"/>
    <w:rsid w:val="002A21ED"/>
    <w:rsid w:val="002A4917"/>
    <w:rsid w:val="00316446"/>
    <w:rsid w:val="003224AF"/>
    <w:rsid w:val="00324D84"/>
    <w:rsid w:val="0032579C"/>
    <w:rsid w:val="003322A2"/>
    <w:rsid w:val="00335786"/>
    <w:rsid w:val="00377CAC"/>
    <w:rsid w:val="003809F2"/>
    <w:rsid w:val="003E693A"/>
    <w:rsid w:val="003F2CEC"/>
    <w:rsid w:val="003F4E77"/>
    <w:rsid w:val="003F6065"/>
    <w:rsid w:val="00415D03"/>
    <w:rsid w:val="00431ACE"/>
    <w:rsid w:val="00446982"/>
    <w:rsid w:val="00452AAB"/>
    <w:rsid w:val="00461D34"/>
    <w:rsid w:val="004941FE"/>
    <w:rsid w:val="004A7E9D"/>
    <w:rsid w:val="004C2A48"/>
    <w:rsid w:val="004D4DD0"/>
    <w:rsid w:val="004F15B2"/>
    <w:rsid w:val="004F163A"/>
    <w:rsid w:val="00532F9E"/>
    <w:rsid w:val="00557C06"/>
    <w:rsid w:val="00580B47"/>
    <w:rsid w:val="0059686E"/>
    <w:rsid w:val="0059712E"/>
    <w:rsid w:val="005D32F0"/>
    <w:rsid w:val="005D6C37"/>
    <w:rsid w:val="005E398E"/>
    <w:rsid w:val="00602B1B"/>
    <w:rsid w:val="00621844"/>
    <w:rsid w:val="0062288A"/>
    <w:rsid w:val="006328BB"/>
    <w:rsid w:val="00632C67"/>
    <w:rsid w:val="006423C2"/>
    <w:rsid w:val="00665E5A"/>
    <w:rsid w:val="0067098D"/>
    <w:rsid w:val="0067130A"/>
    <w:rsid w:val="006C2A80"/>
    <w:rsid w:val="006C399D"/>
    <w:rsid w:val="006D514C"/>
    <w:rsid w:val="006F004D"/>
    <w:rsid w:val="00707A4C"/>
    <w:rsid w:val="00734816"/>
    <w:rsid w:val="007424DB"/>
    <w:rsid w:val="00750540"/>
    <w:rsid w:val="007515DD"/>
    <w:rsid w:val="00753D63"/>
    <w:rsid w:val="0077533D"/>
    <w:rsid w:val="00780523"/>
    <w:rsid w:val="007844D8"/>
    <w:rsid w:val="00787BDB"/>
    <w:rsid w:val="00791717"/>
    <w:rsid w:val="007A047A"/>
    <w:rsid w:val="007A7A93"/>
    <w:rsid w:val="007C06F6"/>
    <w:rsid w:val="007D198F"/>
    <w:rsid w:val="007E2E98"/>
    <w:rsid w:val="00805336"/>
    <w:rsid w:val="00823C71"/>
    <w:rsid w:val="008449A7"/>
    <w:rsid w:val="008567DD"/>
    <w:rsid w:val="00882486"/>
    <w:rsid w:val="00892512"/>
    <w:rsid w:val="008A3601"/>
    <w:rsid w:val="008B10E5"/>
    <w:rsid w:val="008B3C6C"/>
    <w:rsid w:val="008C0078"/>
    <w:rsid w:val="008C78D4"/>
    <w:rsid w:val="008D3CA4"/>
    <w:rsid w:val="008E4299"/>
    <w:rsid w:val="008F0D2A"/>
    <w:rsid w:val="008F6B94"/>
    <w:rsid w:val="008F7BF9"/>
    <w:rsid w:val="00900C7F"/>
    <w:rsid w:val="00912436"/>
    <w:rsid w:val="0091514E"/>
    <w:rsid w:val="0093385A"/>
    <w:rsid w:val="0097625B"/>
    <w:rsid w:val="00990161"/>
    <w:rsid w:val="009B57B4"/>
    <w:rsid w:val="009C08F6"/>
    <w:rsid w:val="00A010A8"/>
    <w:rsid w:val="00A07B51"/>
    <w:rsid w:val="00A20E26"/>
    <w:rsid w:val="00A23C84"/>
    <w:rsid w:val="00A42441"/>
    <w:rsid w:val="00A9252F"/>
    <w:rsid w:val="00AA31DF"/>
    <w:rsid w:val="00AA5D64"/>
    <w:rsid w:val="00AB4BAF"/>
    <w:rsid w:val="00AC7311"/>
    <w:rsid w:val="00AE58EC"/>
    <w:rsid w:val="00AE7278"/>
    <w:rsid w:val="00B84960"/>
    <w:rsid w:val="00BA3CE0"/>
    <w:rsid w:val="00BA48CE"/>
    <w:rsid w:val="00BB0EF7"/>
    <w:rsid w:val="00BB40EB"/>
    <w:rsid w:val="00C508DF"/>
    <w:rsid w:val="00C731C3"/>
    <w:rsid w:val="00C80EC3"/>
    <w:rsid w:val="00C82725"/>
    <w:rsid w:val="00CC5D35"/>
    <w:rsid w:val="00CE17F6"/>
    <w:rsid w:val="00CE495F"/>
    <w:rsid w:val="00D26FB7"/>
    <w:rsid w:val="00D34266"/>
    <w:rsid w:val="00D35A5F"/>
    <w:rsid w:val="00D62045"/>
    <w:rsid w:val="00D64D0B"/>
    <w:rsid w:val="00D86DAD"/>
    <w:rsid w:val="00D90E50"/>
    <w:rsid w:val="00D924E0"/>
    <w:rsid w:val="00DB4293"/>
    <w:rsid w:val="00DC1177"/>
    <w:rsid w:val="00DD1B75"/>
    <w:rsid w:val="00E15475"/>
    <w:rsid w:val="00E224CB"/>
    <w:rsid w:val="00E24ABF"/>
    <w:rsid w:val="00E502CB"/>
    <w:rsid w:val="00E656F5"/>
    <w:rsid w:val="00E667FC"/>
    <w:rsid w:val="00E6713E"/>
    <w:rsid w:val="00E76052"/>
    <w:rsid w:val="00E76CE6"/>
    <w:rsid w:val="00E8745D"/>
    <w:rsid w:val="00E90A1E"/>
    <w:rsid w:val="00EB304F"/>
    <w:rsid w:val="00EC403E"/>
    <w:rsid w:val="00EE66AA"/>
    <w:rsid w:val="00F137F1"/>
    <w:rsid w:val="00F37021"/>
    <w:rsid w:val="00F520D3"/>
    <w:rsid w:val="00F90B39"/>
    <w:rsid w:val="00F91692"/>
    <w:rsid w:val="00FA7220"/>
    <w:rsid w:val="00FB671C"/>
    <w:rsid w:val="00FC7D2D"/>
    <w:rsid w:val="00FD5F80"/>
    <w:rsid w:val="00FD6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56E6F2"/>
  <w15:chartTrackingRefBased/>
  <w15:docId w15:val="{4E3695A4-972A-4B33-80DE-49CA2B83C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link w:val="textbulletsChar"/>
    <w:qFormat/>
    <w:rsid w:val="004F33FE"/>
    <w:pPr>
      <w:numPr>
        <w:numId w:val="9"/>
      </w:numPr>
      <w:tabs>
        <w:tab w:val="clear" w:pos="397"/>
        <w:tab w:val="left" w:pos="964"/>
      </w:tabs>
      <w:spacing w:before="80" w:after="60" w:line="240" w:lineRule="atLeast"/>
      <w:ind w:left="964"/>
    </w:pPr>
    <w:rPr>
      <w:rFonts w:ascii="Verdana" w:hAnsi="Verdana"/>
      <w:szCs w:val="24"/>
      <w:lang w:eastAsia="es-ES_tradnl"/>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8"/>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Sourcetext">
    <w:name w:val="Source text"/>
    <w:basedOn w:val="Normal"/>
    <w:qFormat/>
    <w:rsid w:val="00A30534"/>
    <w:pPr>
      <w:autoSpaceDE w:val="0"/>
      <w:autoSpaceDN w:val="0"/>
      <w:adjustRightInd w:val="0"/>
      <w:spacing w:before="120" w:after="120"/>
    </w:pPr>
    <w:rPr>
      <w:rFonts w:ascii="Verdana" w:hAnsi="Verdana" w:cs="MyriadPro-Regular"/>
      <w:i/>
      <w:sz w:val="20"/>
      <w:szCs w:val="20"/>
      <w:lang w:eastAsia="en-GB"/>
    </w:rPr>
  </w:style>
  <w:style w:type="paragraph" w:customStyle="1" w:styleId="tabletexthd">
    <w:name w:val="table text hd"/>
    <w:rsid w:val="0010147D"/>
    <w:pPr>
      <w:spacing w:before="120" w:after="60" w:line="260" w:lineRule="atLeast"/>
    </w:pPr>
    <w:rPr>
      <w:rFonts w:ascii="Verdana" w:hAnsi="Verdana"/>
      <w:b/>
      <w:color w:val="FFFFFF"/>
      <w:szCs w:val="22"/>
      <w:lang w:eastAsia="en-US"/>
    </w:rPr>
  </w:style>
  <w:style w:type="character" w:customStyle="1" w:styleId="textbulletsChar">
    <w:name w:val="text bullets Char"/>
    <w:link w:val="textbullets"/>
    <w:rsid w:val="0010147D"/>
    <w:rPr>
      <w:rFonts w:ascii="Verdana" w:hAnsi="Verdana"/>
      <w:szCs w:val="24"/>
      <w:lang w:val="en-GB" w:bidi="ar-SA"/>
    </w:rPr>
  </w:style>
  <w:style w:type="paragraph" w:customStyle="1" w:styleId="text-bold">
    <w:name w:val="text-bold"/>
    <w:basedOn w:val="text"/>
    <w:next w:val="text"/>
    <w:rsid w:val="0010147D"/>
    <w:pPr>
      <w:spacing w:before="60" w:line="260" w:lineRule="exact"/>
      <w:ind w:left="0"/>
    </w:pPr>
    <w:rPr>
      <w:rFonts w:cs="Times New Roman"/>
      <w:b/>
      <w:color w:val="000000"/>
      <w:sz w:val="18"/>
      <w:szCs w:val="20"/>
    </w:rPr>
  </w:style>
  <w:style w:type="paragraph" w:styleId="ListNumber">
    <w:name w:val="List Number"/>
    <w:basedOn w:val="Normal"/>
    <w:rsid w:val="0010147D"/>
    <w:pPr>
      <w:tabs>
        <w:tab w:val="num" w:pos="360"/>
      </w:tabs>
      <w:spacing w:line="260" w:lineRule="atLeast"/>
      <w:ind w:left="360" w:hanging="360"/>
    </w:pPr>
    <w:rPr>
      <w:rFonts w:ascii="Verdana" w:hAnsi="Verdana"/>
      <w:sz w:val="18"/>
      <w:szCs w:val="20"/>
    </w:rPr>
  </w:style>
  <w:style w:type="paragraph" w:customStyle="1" w:styleId="Pa8">
    <w:name w:val="Pa8"/>
    <w:basedOn w:val="Normal"/>
    <w:next w:val="Normal"/>
    <w:uiPriority w:val="99"/>
    <w:rsid w:val="00377CAC"/>
    <w:pPr>
      <w:autoSpaceDE w:val="0"/>
      <w:autoSpaceDN w:val="0"/>
      <w:adjustRightInd w:val="0"/>
      <w:spacing w:line="201" w:lineRule="atLeast"/>
    </w:pPr>
    <w:rPr>
      <w:rFonts w:ascii="Myriad Pro Light" w:eastAsia="Calibri" w:hAnsi="Myriad Pro Light"/>
    </w:rPr>
  </w:style>
  <w:style w:type="character" w:styleId="CommentReference">
    <w:name w:val="annotation reference"/>
    <w:uiPriority w:val="99"/>
    <w:rsid w:val="003E693A"/>
    <w:rPr>
      <w:sz w:val="16"/>
      <w:szCs w:val="16"/>
    </w:rPr>
  </w:style>
  <w:style w:type="paragraph" w:styleId="CommentText">
    <w:name w:val="annotation text"/>
    <w:basedOn w:val="Normal"/>
    <w:link w:val="CommentTextChar"/>
    <w:uiPriority w:val="99"/>
    <w:rsid w:val="003E693A"/>
    <w:rPr>
      <w:sz w:val="20"/>
      <w:szCs w:val="20"/>
      <w:lang w:val="x-none"/>
    </w:rPr>
  </w:style>
  <w:style w:type="character" w:customStyle="1" w:styleId="CommentTextChar">
    <w:name w:val="Comment Text Char"/>
    <w:link w:val="CommentText"/>
    <w:uiPriority w:val="99"/>
    <w:rsid w:val="003E693A"/>
    <w:rPr>
      <w:lang w:eastAsia="en-US"/>
    </w:rPr>
  </w:style>
  <w:style w:type="paragraph" w:styleId="CommentSubject">
    <w:name w:val="annotation subject"/>
    <w:basedOn w:val="CommentText"/>
    <w:next w:val="CommentText"/>
    <w:link w:val="CommentSubjectChar"/>
    <w:uiPriority w:val="99"/>
    <w:rsid w:val="003E693A"/>
    <w:rPr>
      <w:b/>
      <w:bCs/>
    </w:rPr>
  </w:style>
  <w:style w:type="character" w:customStyle="1" w:styleId="CommentSubjectChar">
    <w:name w:val="Comment Subject Char"/>
    <w:link w:val="CommentSubject"/>
    <w:uiPriority w:val="99"/>
    <w:rsid w:val="003E693A"/>
    <w:rPr>
      <w:b/>
      <w:bCs/>
      <w:lang w:eastAsia="en-US"/>
    </w:rPr>
  </w:style>
  <w:style w:type="paragraph" w:styleId="BalloonText">
    <w:name w:val="Balloon Text"/>
    <w:basedOn w:val="Normal"/>
    <w:link w:val="BalloonTextChar"/>
    <w:rsid w:val="003E693A"/>
    <w:rPr>
      <w:rFonts w:ascii="Tahoma" w:hAnsi="Tahoma"/>
      <w:sz w:val="16"/>
      <w:szCs w:val="16"/>
      <w:lang w:val="x-none"/>
    </w:rPr>
  </w:style>
  <w:style w:type="character" w:customStyle="1" w:styleId="BalloonTextChar">
    <w:name w:val="Balloon Text Char"/>
    <w:link w:val="BalloonText"/>
    <w:rsid w:val="003E693A"/>
    <w:rPr>
      <w:rFonts w:ascii="Tahoma" w:hAnsi="Tahoma" w:cs="Tahoma"/>
      <w:sz w:val="16"/>
      <w:szCs w:val="16"/>
      <w:lang w:eastAsia="en-US"/>
    </w:rPr>
  </w:style>
  <w:style w:type="paragraph" w:customStyle="1" w:styleId="Text0">
    <w:name w:val="Text"/>
    <w:basedOn w:val="Normal"/>
    <w:link w:val="TextChar"/>
    <w:rsid w:val="003F4E77"/>
    <w:pPr>
      <w:spacing w:before="40" w:after="40" w:line="200" w:lineRule="atLeast"/>
    </w:pPr>
    <w:rPr>
      <w:rFonts w:ascii="Trebuchet MS" w:eastAsia="Calibri" w:hAnsi="Trebuchet MS"/>
      <w:sz w:val="16"/>
      <w:szCs w:val="16"/>
      <w:lang w:val="x-none"/>
    </w:rPr>
  </w:style>
  <w:style w:type="character" w:customStyle="1" w:styleId="TextChar">
    <w:name w:val="Text Char"/>
    <w:link w:val="Text0"/>
    <w:locked/>
    <w:rsid w:val="003F4E77"/>
    <w:rPr>
      <w:rFonts w:ascii="Trebuchet MS" w:eastAsia="Calibri" w:hAnsi="Trebuchet MS" w:cs="Trebuchet MS"/>
      <w:sz w:val="16"/>
      <w:szCs w:val="16"/>
      <w:lang w:eastAsia="en-US"/>
    </w:rPr>
  </w:style>
  <w:style w:type="character" w:customStyle="1" w:styleId="FooterChar">
    <w:name w:val="Footer Char"/>
    <w:link w:val="Footer"/>
    <w:locked/>
    <w:rsid w:val="003F4E77"/>
    <w:rPr>
      <w:rFonts w:ascii="Verdana" w:hAnsi="Verdana"/>
      <w:sz w:val="14"/>
      <w:szCs w:val="24"/>
      <w:lang w:val="en-GB" w:eastAsia="en-US" w:bidi="ar-SA"/>
    </w:rPr>
  </w:style>
  <w:style w:type="paragraph" w:customStyle="1" w:styleId="guideheadB">
    <w:name w:val="guide head B"/>
    <w:next w:val="Text0"/>
    <w:rsid w:val="008567DD"/>
    <w:pPr>
      <w:pBdr>
        <w:top w:val="single" w:sz="12" w:space="3" w:color="AACAE6"/>
        <w:bottom w:val="single" w:sz="12" w:space="3" w:color="AACAE6"/>
      </w:pBdr>
      <w:spacing w:before="300" w:after="120" w:line="300" w:lineRule="atLeast"/>
    </w:pPr>
    <w:rPr>
      <w:rFonts w:ascii="Verdana" w:hAnsi="Verdana"/>
      <w:b/>
      <w:sz w:val="32"/>
      <w:szCs w:val="24"/>
      <w:lang w:eastAsia="en-US"/>
    </w:rPr>
  </w:style>
  <w:style w:type="paragraph" w:customStyle="1" w:styleId="textindented">
    <w:name w:val="text indented"/>
    <w:next w:val="Normal"/>
    <w:uiPriority w:val="99"/>
    <w:rsid w:val="008567DD"/>
    <w:pPr>
      <w:spacing w:before="60" w:after="60" w:line="260" w:lineRule="atLeast"/>
      <w:ind w:left="357" w:hanging="357"/>
    </w:pPr>
    <w:rPr>
      <w:rFonts w:ascii="Verdana" w:hAnsi="Verdana"/>
      <w:color w:val="000000"/>
      <w:szCs w:val="22"/>
    </w:rPr>
  </w:style>
  <w:style w:type="paragraph" w:styleId="ListParagraph">
    <w:name w:val="List Paragraph"/>
    <w:basedOn w:val="Normal"/>
    <w:uiPriority w:val="34"/>
    <w:qFormat/>
    <w:rsid w:val="005D32F0"/>
    <w:pPr>
      <w:ind w:left="720"/>
    </w:pPr>
  </w:style>
  <w:style w:type="character" w:customStyle="1" w:styleId="HeaderChar">
    <w:name w:val="Header Char"/>
    <w:link w:val="Header"/>
    <w:rsid w:val="00D924E0"/>
    <w:rPr>
      <w:rFonts w:ascii="Verdana" w:hAnsi="Verdana"/>
      <w:b/>
      <w:color w:val="405E64"/>
      <w:sz w:val="19"/>
      <w:szCs w:val="24"/>
      <w:lang w:val="en-GB" w:eastAsia="en-US" w:bidi="ar-SA"/>
    </w:rPr>
  </w:style>
  <w:style w:type="paragraph" w:customStyle="1" w:styleId="Bodytext">
    <w:name w:val="Body text"/>
    <w:qFormat/>
    <w:rsid w:val="00D924E0"/>
    <w:pPr>
      <w:spacing w:before="80" w:after="60" w:line="240" w:lineRule="atLeast"/>
    </w:pPr>
    <w:rPr>
      <w:rFonts w:ascii="Verdana" w:hAnsi="Verdana" w:cs="Arial"/>
      <w:szCs w:val="24"/>
      <w:lang w:eastAsia="en-US"/>
    </w:rPr>
  </w:style>
  <w:style w:type="paragraph" w:customStyle="1" w:styleId="Front1">
    <w:name w:val="Front1"/>
    <w:qFormat/>
    <w:rsid w:val="00D924E0"/>
    <w:pPr>
      <w:spacing w:before="5280" w:after="120"/>
      <w:ind w:left="-284" w:right="-284"/>
    </w:pPr>
    <w:rPr>
      <w:rFonts w:ascii="Verdana Bold" w:hAnsi="Verdana Bold"/>
      <w:b/>
      <w:color w:val="002656"/>
      <w:sz w:val="36"/>
      <w:szCs w:val="48"/>
    </w:rPr>
  </w:style>
  <w:style w:type="paragraph" w:customStyle="1" w:styleId="Front0">
    <w:name w:val="Front0"/>
    <w:basedOn w:val="Normal"/>
    <w:qFormat/>
    <w:rsid w:val="00D924E0"/>
    <w:pPr>
      <w:spacing w:after="120"/>
      <w:ind w:left="7201" w:right="-284"/>
    </w:pPr>
    <w:rPr>
      <w:rFonts w:ascii="Verdana" w:hAnsi="Verdana"/>
      <w:b/>
      <w:color w:val="002656"/>
      <w:sz w:val="76"/>
      <w:szCs w:val="76"/>
      <w:lang w:eastAsia="en-GB"/>
    </w:rPr>
  </w:style>
  <w:style w:type="paragraph" w:customStyle="1" w:styleId="Front2">
    <w:name w:val="Front2"/>
    <w:next w:val="Normal"/>
    <w:qFormat/>
    <w:rsid w:val="00D924E0"/>
    <w:pPr>
      <w:pBdr>
        <w:top w:val="single" w:sz="4" w:space="5" w:color="102D51"/>
        <w:bottom w:val="single" w:sz="4" w:space="5" w:color="102D51"/>
      </w:pBdr>
      <w:spacing w:before="120" w:after="60" w:line="280" w:lineRule="exact"/>
      <w:ind w:left="-284" w:right="-284"/>
    </w:pPr>
    <w:rPr>
      <w:rFonts w:ascii="Verdana" w:hAnsi="Verdana"/>
      <w:b/>
      <w:color w:val="002656"/>
      <w:sz w:val="28"/>
      <w:szCs w:val="50"/>
    </w:rPr>
  </w:style>
  <w:style w:type="character" w:styleId="Hyperlink">
    <w:name w:val="Hyperlink"/>
    <w:rsid w:val="00DB42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qualifications.pearson.com/content/dam/pdf/GCSE/History/2016/Teaching-and-learning-materials/gcse-history-changes-for-2025-and-2026-summary-guidance.pdf"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GCSE Getting Started</vt:lpstr>
      <vt:lpstr>GCSE Getting Started</vt:lpstr>
    </vt:vector>
  </TitlesOfParts>
  <Company>Pearson Education</Company>
  <LinksUpToDate>false</LinksUpToDate>
  <CharactersWithSpaces>7214</CharactersWithSpaces>
  <SharedDoc>false</SharedDoc>
  <HLinks>
    <vt:vector size="6" baseType="variant">
      <vt:variant>
        <vt:i4>1376340</vt:i4>
      </vt:variant>
      <vt:variant>
        <vt:i4>0</vt:i4>
      </vt:variant>
      <vt:variant>
        <vt:i4>0</vt:i4>
      </vt:variant>
      <vt:variant>
        <vt:i4>5</vt:i4>
      </vt:variant>
      <vt:variant>
        <vt:lpwstr>https://qualifications.pearson.com/content/dam/pdf/GCSE/History/2016/Teaching-and-learning-materials/gcse-history-changes-for-2025-and-2026-summary-guidance.pdf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subject/>
  <dc:creator>regan_c</dc:creator>
  <cp:keywords/>
  <cp:lastModifiedBy>Mark Anstee</cp:lastModifiedBy>
  <cp:revision>6</cp:revision>
  <cp:lastPrinted>2015-11-16T18:36:00Z</cp:lastPrinted>
  <dcterms:created xsi:type="dcterms:W3CDTF">2024-12-17T17:24:00Z</dcterms:created>
  <dcterms:modified xsi:type="dcterms:W3CDTF">2024-12-17T17:29:00Z</dcterms:modified>
</cp:coreProperties>
</file>