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2630B" w14:textId="77777777" w:rsidR="00966398" w:rsidRPr="00671700" w:rsidRDefault="00966398" w:rsidP="00966398">
      <w:pPr>
        <w:pStyle w:val="Front0"/>
        <w:spacing w:before="240"/>
      </w:pPr>
      <w:r>
        <w:t xml:space="preserve">Option </w:t>
      </w:r>
      <w:r w:rsidR="00513CAC">
        <w:t>P5</w:t>
      </w:r>
      <w:r w:rsidR="00770AC4">
        <w:t xml:space="preserve"> </w:t>
      </w:r>
      <w:r>
        <w:t>scheme of work</w:t>
      </w:r>
    </w:p>
    <w:p w14:paraId="23DE68E7" w14:textId="77777777" w:rsidR="00966398" w:rsidRPr="00486F63" w:rsidRDefault="00966398" w:rsidP="00176D82">
      <w:pPr>
        <w:pStyle w:val="Front1"/>
        <w:tabs>
          <w:tab w:val="right" w:pos="14175"/>
        </w:tabs>
        <w:spacing w:before="6000"/>
      </w:pPr>
      <w:r w:rsidRPr="005D5035">
        <w:t>Conflict in the Middle East, 1945–95</w:t>
      </w:r>
      <w:r>
        <w:br/>
      </w:r>
      <w:r w:rsidRPr="00D61977">
        <w:rPr>
          <w:sz w:val="28"/>
          <w:szCs w:val="28"/>
        </w:rPr>
        <w:t>GCSE (9-1) History</w:t>
      </w:r>
      <w:r w:rsidR="00176D82">
        <w:rPr>
          <w:sz w:val="28"/>
          <w:szCs w:val="28"/>
        </w:rPr>
        <w:t xml:space="preserve"> </w:t>
      </w:r>
      <w:r w:rsidR="00176D82">
        <w:rPr>
          <w:sz w:val="28"/>
          <w:szCs w:val="28"/>
        </w:rPr>
        <w:tab/>
        <w:t>(v3 2024)</w:t>
      </w:r>
    </w:p>
    <w:p w14:paraId="266B1978" w14:textId="77777777" w:rsidR="00966398" w:rsidRPr="00D61977" w:rsidRDefault="00966398" w:rsidP="00966398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75BCE93B" w14:textId="77777777" w:rsidR="00966398" w:rsidRDefault="00966398" w:rsidP="00966398">
      <w:pPr>
        <w:pStyle w:val="Bodytext"/>
        <w:rPr>
          <w:lang w:eastAsia="en-GB"/>
        </w:rPr>
        <w:sectPr w:rsidR="00966398" w:rsidSect="008600F6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6B4C7810" w14:textId="77777777" w:rsidR="009859B5" w:rsidRDefault="009859B5" w:rsidP="009859B5">
      <w:pPr>
        <w:pStyle w:val="Ahead"/>
      </w:pPr>
      <w:r>
        <w:lastRenderedPageBreak/>
        <w:t xml:space="preserve">Introduction </w:t>
      </w:r>
    </w:p>
    <w:p w14:paraId="6FA6F2EC" w14:textId="77777777" w:rsidR="00176D82" w:rsidRDefault="00176D82" w:rsidP="00176D82">
      <w:pPr>
        <w:pStyle w:val="text"/>
      </w:pPr>
      <w:r w:rsidRPr="005B7395">
        <w:t xml:space="preserve">This scheme of work has been updated to match Issue 6 of the specification. Summary guidance on the changes can be found </w:t>
      </w:r>
      <w:hyperlink r:id="rId12" w:history="1">
        <w:r w:rsidRPr="005B7395">
          <w:rPr>
            <w:rStyle w:val="Hyperlink"/>
          </w:rPr>
          <w:t>here</w:t>
        </w:r>
      </w:hyperlink>
      <w:r w:rsidRPr="005B7395">
        <w:t>.</w:t>
      </w:r>
      <w:r>
        <w:t xml:space="preserve"> </w:t>
      </w:r>
    </w:p>
    <w:p w14:paraId="72C24456" w14:textId="77777777" w:rsidR="00176D82" w:rsidRPr="005B7395" w:rsidRDefault="00176D82" w:rsidP="00176D82">
      <w:pPr>
        <w:pStyle w:val="text"/>
      </w:pPr>
    </w:p>
    <w:p w14:paraId="21C49A25" w14:textId="77777777" w:rsidR="00F91692" w:rsidRPr="00853391" w:rsidRDefault="002229E7" w:rsidP="002229E7">
      <w:pPr>
        <w:pStyle w:val="text"/>
        <w:rPr>
          <w:b/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Pr="00237473">
        <w:t>scheme of work for</w:t>
      </w:r>
      <w:r w:rsidR="005D5035" w:rsidRPr="005D5035">
        <w:rPr>
          <w:rFonts w:cs="Times New Roman"/>
          <w:sz w:val="18"/>
          <w:szCs w:val="20"/>
        </w:rPr>
        <w:t xml:space="preserve"> </w:t>
      </w:r>
      <w:r w:rsidR="005D5035" w:rsidRPr="00853391">
        <w:rPr>
          <w:b/>
        </w:rPr>
        <w:t>Conflict in the Middle East, 1945–95.</w:t>
      </w:r>
    </w:p>
    <w:p w14:paraId="0E5A3D82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36F66351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436C99">
        <w:t xml:space="preserve">Period </w:t>
      </w:r>
      <w:r w:rsidR="008567DD">
        <w:t>study</w:t>
      </w:r>
      <w:r w:rsidRPr="00237473">
        <w:t xml:space="preserve">. </w:t>
      </w:r>
    </w:p>
    <w:p w14:paraId="254CF205" w14:textId="77777777" w:rsidR="0037174F" w:rsidRDefault="0037174F" w:rsidP="0037174F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13ED6A42" w14:textId="77777777" w:rsidR="0037174F" w:rsidRPr="00E45736" w:rsidRDefault="0037174F" w:rsidP="0037174F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 xml:space="preserve">for Option </w:t>
      </w:r>
      <w:r w:rsidR="00630376">
        <w:t xml:space="preserve">P5 </w:t>
      </w:r>
      <w:r>
        <w:t>includes illustrative exemplification of content.</w:t>
      </w:r>
    </w:p>
    <w:p w14:paraId="1612218C" w14:textId="77777777" w:rsidR="00007504" w:rsidRDefault="00007504" w:rsidP="00007504"/>
    <w:p w14:paraId="509DBAD8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4E15D925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</w:p>
    <w:p w14:paraId="373830C4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436C99">
        <w:t xml:space="preserve">Period </w:t>
      </w:r>
      <w:r>
        <w:t xml:space="preserve">study: </w:t>
      </w:r>
    </w:p>
    <w:p w14:paraId="01B39E42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</w:t>
      </w:r>
      <w:r w:rsidR="00176D82" w:rsidRPr="00176D82">
        <w:rPr>
          <w:b/>
          <w:bCs/>
        </w:rPr>
        <w:t>one</w:t>
      </w:r>
      <w:r>
        <w:t xml:space="preserve"> consequence of...</w:t>
      </w:r>
    </w:p>
    <w:p w14:paraId="62CAEF4A" w14:textId="77777777" w:rsidR="00007504" w:rsidRDefault="008567DD" w:rsidP="008567DD">
      <w:pPr>
        <w:pStyle w:val="textbullets"/>
        <w:numPr>
          <w:ilvl w:val="2"/>
          <w:numId w:val="9"/>
        </w:numPr>
      </w:pPr>
      <w:r>
        <w:t>Write a</w:t>
      </w:r>
      <w:r w:rsidR="0037174F">
        <w:t xml:space="preserve"> narrative</w:t>
      </w:r>
      <w:r>
        <w:t xml:space="preserve"> account </w:t>
      </w:r>
      <w:r w:rsidR="0037174F">
        <w:t>analysing</w:t>
      </w:r>
      <w:r>
        <w:t xml:space="preserve">... </w:t>
      </w:r>
      <w:r w:rsidR="007D198F">
        <w:t xml:space="preserve"> </w:t>
      </w:r>
    </w:p>
    <w:p w14:paraId="1E4AD543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the importance of </w:t>
      </w:r>
      <w:r w:rsidRPr="008567DD">
        <w:rPr>
          <w:i/>
        </w:rPr>
        <w:t>x</w:t>
      </w:r>
      <w:r>
        <w:t xml:space="preserve"> for </w:t>
      </w:r>
      <w:r w:rsidRPr="008567DD">
        <w:rPr>
          <w:i/>
        </w:rPr>
        <w:t>y</w:t>
      </w:r>
      <w:r>
        <w:t>...</w:t>
      </w:r>
    </w:p>
    <w:p w14:paraId="37E41A9F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44DE10D7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37174F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1638E219" w14:textId="77777777" w:rsidR="00007504" w:rsidRPr="0010147D" w:rsidRDefault="00007504" w:rsidP="00007504">
      <w:pPr>
        <w:pStyle w:val="text"/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241"/>
        <w:gridCol w:w="13185"/>
      </w:tblGrid>
      <w:tr w:rsidR="008567DD" w:rsidRPr="004C7F7D" w14:paraId="4EDD55BB" w14:textId="77777777" w:rsidTr="00176D82">
        <w:trPr>
          <w:cantSplit/>
          <w:trHeight w:val="214"/>
          <w:tblHeader/>
        </w:trPr>
        <w:tc>
          <w:tcPr>
            <w:tcW w:w="43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1F469254" w14:textId="77777777" w:rsidR="008567DD" w:rsidRPr="00F532F8" w:rsidRDefault="008567DD" w:rsidP="00176D82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4570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716871A9" w14:textId="77777777" w:rsidR="008567DD" w:rsidRDefault="008567DD" w:rsidP="00176D82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8567DD" w:rsidRPr="002B4ED0" w14:paraId="62B0DF90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1C2ED229" w14:textId="77777777" w:rsidR="008567DD" w:rsidRPr="00007504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4B411F99" w14:textId="77777777" w:rsidR="005D5035" w:rsidRPr="008600F6" w:rsidRDefault="005D5035" w:rsidP="005D5035">
            <w:pPr>
              <w:pStyle w:val="Tabletextbullets"/>
              <w:rPr>
                <w:i/>
                <w:szCs w:val="18"/>
              </w:rPr>
            </w:pPr>
            <w:r w:rsidRPr="008600F6">
              <w:rPr>
                <w:i/>
                <w:szCs w:val="18"/>
              </w:rPr>
              <w:t>Introduction and overview of Conflict in the Middle East, 1945</w:t>
            </w:r>
            <w:r w:rsidR="00176D82">
              <w:rPr>
                <w:i/>
                <w:szCs w:val="18"/>
              </w:rPr>
              <w:t>–</w:t>
            </w:r>
            <w:r w:rsidRPr="008600F6">
              <w:rPr>
                <w:i/>
                <w:szCs w:val="18"/>
              </w:rPr>
              <w:t>95.</w:t>
            </w:r>
          </w:p>
          <w:p w14:paraId="1C660CF9" w14:textId="77777777" w:rsidR="00D54865" w:rsidRDefault="00D54865" w:rsidP="00853391">
            <w:pPr>
              <w:pStyle w:val="Tabletext"/>
              <w:rPr>
                <w:b/>
                <w:sz w:val="18"/>
              </w:rPr>
            </w:pPr>
          </w:p>
          <w:p w14:paraId="120C5E83" w14:textId="77777777" w:rsidR="005D5035" w:rsidRPr="00D43068" w:rsidRDefault="005D5035" w:rsidP="00853391">
            <w:pPr>
              <w:pStyle w:val="Tabletext"/>
              <w:rPr>
                <w:b/>
                <w:sz w:val="22"/>
                <w:szCs w:val="28"/>
              </w:rPr>
            </w:pPr>
            <w:r w:rsidRPr="00D43068">
              <w:rPr>
                <w:b/>
                <w:szCs w:val="28"/>
              </w:rPr>
              <w:t>Key topic 1.1</w:t>
            </w:r>
            <w:r w:rsidRPr="00D43068">
              <w:rPr>
                <w:b/>
                <w:sz w:val="22"/>
                <w:szCs w:val="28"/>
              </w:rPr>
              <w:t xml:space="preserve"> </w:t>
            </w:r>
            <w:r w:rsidRPr="00D43068">
              <w:rPr>
                <w:b/>
                <w:szCs w:val="28"/>
              </w:rPr>
              <w:t>The British withdrawal and the creation of Israel</w:t>
            </w:r>
          </w:p>
          <w:p w14:paraId="7F9287F3" w14:textId="77777777" w:rsidR="005D5035" w:rsidRPr="005D5035" w:rsidRDefault="005D5035" w:rsidP="005D5035">
            <w:pPr>
              <w:pStyle w:val="Tabletextbullets"/>
              <w:rPr>
                <w:szCs w:val="18"/>
              </w:rPr>
            </w:pPr>
            <w:r w:rsidRPr="005D5035">
              <w:rPr>
                <w:szCs w:val="18"/>
              </w:rPr>
              <w:t>Conflicting interests and demands of Jews and Arabs within the British Mandate.</w:t>
            </w:r>
          </w:p>
          <w:p w14:paraId="3376769B" w14:textId="77777777" w:rsidR="008567DD" w:rsidRPr="00A01FBF" w:rsidRDefault="00394A27" w:rsidP="00394A27">
            <w:pPr>
              <w:pStyle w:val="Tabletextbullets"/>
              <w:rPr>
                <w:szCs w:val="18"/>
              </w:rPr>
            </w:pPr>
            <w:r w:rsidRPr="00394A27">
              <w:rPr>
                <w:szCs w:val="18"/>
              </w:rPr>
              <w:t>Key events leading to the end of the British Mandate, partition and the creation of Israel, including the significance of the bombing of</w:t>
            </w:r>
            <w:r>
              <w:rPr>
                <w:szCs w:val="18"/>
              </w:rPr>
              <w:t xml:space="preserve"> </w:t>
            </w:r>
            <w:r w:rsidRPr="00394A27">
              <w:rPr>
                <w:szCs w:val="18"/>
              </w:rPr>
              <w:t>the King David Hotel and UN Resolution 181.</w:t>
            </w:r>
          </w:p>
        </w:tc>
      </w:tr>
      <w:tr w:rsidR="008567DD" w:rsidRPr="002B4ED0" w14:paraId="6D7D67A6" w14:textId="77777777" w:rsidTr="00176D82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367D8D8D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09AC25D4" w14:textId="77777777" w:rsidR="008567DD" w:rsidRDefault="005D5035" w:rsidP="005D5035">
            <w:pPr>
              <w:pStyle w:val="Tabletextbullets"/>
            </w:pPr>
            <w:r w:rsidRPr="005D5035">
              <w:t>Key events of the Arab-Israeli war</w:t>
            </w:r>
            <w:r w:rsidR="0050320A">
              <w:t xml:space="preserve"> (</w:t>
            </w:r>
            <w:r w:rsidRPr="005D5035">
              <w:t>1948–49</w:t>
            </w:r>
            <w:r w:rsidR="0050320A">
              <w:t>)</w:t>
            </w:r>
            <w:r w:rsidRPr="005D5035">
              <w:t>.</w:t>
            </w:r>
          </w:p>
          <w:p w14:paraId="2C33F40F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6026A635" w14:textId="77777777" w:rsidR="005D5035" w:rsidRPr="00853391" w:rsidRDefault="005D5035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1.2 Aftermath of the 1948–49 war</w:t>
            </w:r>
          </w:p>
          <w:p w14:paraId="45C33963" w14:textId="77777777" w:rsidR="005D5035" w:rsidRPr="005D5035" w:rsidRDefault="005D5035" w:rsidP="00A01FBF">
            <w:pPr>
              <w:pStyle w:val="Tabletextbullets"/>
            </w:pPr>
            <w:r w:rsidRPr="007564DA">
              <w:t>Territorial changes and their impact. The refugee status of Palestinian</w:t>
            </w:r>
            <w:r>
              <w:t xml:space="preserve"> Arabs</w:t>
            </w:r>
            <w:r w:rsidRPr="007564DA">
              <w:t>.</w:t>
            </w:r>
          </w:p>
        </w:tc>
      </w:tr>
      <w:tr w:rsidR="008567DD" w:rsidRPr="002B4ED0" w14:paraId="01643093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EFE3F97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7ADA8075" w14:textId="77777777" w:rsidR="005D5035" w:rsidRDefault="005D5035" w:rsidP="005D5035">
            <w:pPr>
              <w:pStyle w:val="Tabletextbullets"/>
            </w:pPr>
            <w:r>
              <w:t>The creation of the Israeli Defence Forces and the Law of Return. US aid to Israel.</w:t>
            </w:r>
          </w:p>
          <w:p w14:paraId="2B7F0B68" w14:textId="77777777" w:rsidR="005D5035" w:rsidRDefault="005D5035" w:rsidP="005D5035">
            <w:pPr>
              <w:pStyle w:val="Tabletextbullets"/>
            </w:pPr>
            <w:r>
              <w:t>Israel’s relations with Egypt.</w:t>
            </w:r>
          </w:p>
          <w:p w14:paraId="43E554D8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4FF4C7EC" w14:textId="77777777" w:rsidR="005D5035" w:rsidRPr="00853391" w:rsidRDefault="005D5035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1.3 Increased tension, 1955–63</w:t>
            </w:r>
          </w:p>
          <w:p w14:paraId="7CA68052" w14:textId="77777777" w:rsidR="005D5035" w:rsidRDefault="005D5035" w:rsidP="005D5035">
            <w:pPr>
              <w:pStyle w:val="Tabletextbullets"/>
            </w:pPr>
            <w:r>
              <w:t>Nasser and Egypt’s leadership of the Arab world.</w:t>
            </w:r>
          </w:p>
          <w:p w14:paraId="1A95D6F5" w14:textId="77777777" w:rsidR="008567DD" w:rsidRDefault="005D5035" w:rsidP="00A01FBF">
            <w:pPr>
              <w:pStyle w:val="Tabletextbullets"/>
            </w:pPr>
            <w:r>
              <w:t>The events and significance of Israeli attacks on Gaza in 1955 and Sinai in 1956.</w:t>
            </w:r>
          </w:p>
        </w:tc>
      </w:tr>
      <w:tr w:rsidR="008567DD" w:rsidRPr="002B4ED0" w14:paraId="01711E98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BA83A63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7FD4D0A3" w14:textId="77777777" w:rsidR="00EC0AF2" w:rsidRPr="00EC0AF2" w:rsidRDefault="00EC0AF2" w:rsidP="00EC0AF2">
            <w:pPr>
              <w:pStyle w:val="Tabletextbullets"/>
            </w:pPr>
            <w:r w:rsidRPr="00EC0AF2">
              <w:t xml:space="preserve">The events and significance of the Suez </w:t>
            </w:r>
            <w:r w:rsidR="00443043">
              <w:t>C</w:t>
            </w:r>
            <w:r w:rsidRPr="00EC0AF2">
              <w:t>risis</w:t>
            </w:r>
            <w:r w:rsidR="00443043">
              <w:t xml:space="preserve"> (1956)</w:t>
            </w:r>
            <w:r w:rsidRPr="00EC0AF2">
              <w:t>, including the</w:t>
            </w:r>
            <w:r>
              <w:t xml:space="preserve"> </w:t>
            </w:r>
            <w:r w:rsidRPr="00EC0AF2">
              <w:t>formation of the UAR in 1958.</w:t>
            </w:r>
          </w:p>
          <w:p w14:paraId="2254FF84" w14:textId="77777777" w:rsidR="00D54865" w:rsidRDefault="00D54865" w:rsidP="00EC0AF2">
            <w:pPr>
              <w:pStyle w:val="Tabletext"/>
              <w:rPr>
                <w:b/>
              </w:rPr>
            </w:pPr>
          </w:p>
          <w:p w14:paraId="31DB3FFF" w14:textId="77777777" w:rsidR="003E5418" w:rsidRPr="00853391" w:rsidRDefault="003E5418" w:rsidP="00EC0AF2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2.1 The Six Day War, 1967</w:t>
            </w:r>
          </w:p>
          <w:p w14:paraId="4332F9B2" w14:textId="77777777" w:rsidR="00A01FBF" w:rsidRDefault="003E5418" w:rsidP="00A01FBF">
            <w:pPr>
              <w:pStyle w:val="Tabletextbullets"/>
            </w:pPr>
            <w:r>
              <w:t xml:space="preserve">The significance of the Cairo </w:t>
            </w:r>
            <w:r w:rsidR="004746CE">
              <w:t>C</w:t>
            </w:r>
            <w:r>
              <w:t>onference</w:t>
            </w:r>
            <w:r w:rsidR="004746CE">
              <w:t xml:space="preserve"> (</w:t>
            </w:r>
            <w:r>
              <w:t>1964</w:t>
            </w:r>
            <w:r w:rsidR="004746CE">
              <w:t>)</w:t>
            </w:r>
            <w:r>
              <w:t>. Escalating tension between Israel, Syria and Jordan: Syria’s support for Fatah, Israel’s raid on Samu and events of 7 April 1967.</w:t>
            </w:r>
          </w:p>
          <w:p w14:paraId="15A1F643" w14:textId="77777777" w:rsidR="003E5418" w:rsidRPr="005D5035" w:rsidRDefault="003E5418" w:rsidP="00A01FBF">
            <w:pPr>
              <w:pStyle w:val="Tabletextbullets"/>
            </w:pPr>
            <w:r w:rsidRPr="003E5418">
              <w:t>The actions of the USSR, Nasser and the USA in the period leading to war.</w:t>
            </w:r>
          </w:p>
        </w:tc>
      </w:tr>
      <w:tr w:rsidR="005D5035" w:rsidRPr="002B4ED0" w14:paraId="7BFB5456" w14:textId="77777777" w:rsidTr="00176D82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6BAF4DCF" w14:textId="77777777" w:rsidR="005D5035" w:rsidRDefault="005D5035" w:rsidP="00176D8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5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3F48FEED" w14:textId="77777777" w:rsidR="005D5035" w:rsidRDefault="003E5418" w:rsidP="00A01FBF">
            <w:pPr>
              <w:numPr>
                <w:ilvl w:val="0"/>
                <w:numId w:val="39"/>
              </w:numPr>
            </w:pPr>
            <w:r w:rsidRPr="00A01FBF">
              <w:rPr>
                <w:rFonts w:ascii="Verdana" w:hAnsi="Verdana" w:cs="Arial"/>
                <w:sz w:val="20"/>
              </w:rPr>
              <w:t>Key events of the war.</w:t>
            </w:r>
          </w:p>
          <w:p w14:paraId="6E68B1B9" w14:textId="77777777" w:rsidR="00D54865" w:rsidRDefault="00D54865" w:rsidP="005175B9">
            <w:pPr>
              <w:pStyle w:val="Tabletext"/>
              <w:rPr>
                <w:b/>
              </w:rPr>
            </w:pPr>
          </w:p>
          <w:p w14:paraId="4176E810" w14:textId="77777777" w:rsidR="003E5418" w:rsidRPr="00853391" w:rsidRDefault="003E5418" w:rsidP="005175B9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 xml:space="preserve">Key topic 2.2 </w:t>
            </w:r>
            <w:r w:rsidR="005175B9" w:rsidRPr="005175B9">
              <w:rPr>
                <w:b/>
              </w:rPr>
              <w:t>Aftermath of</w:t>
            </w:r>
            <w:r w:rsidR="005175B9">
              <w:rPr>
                <w:b/>
              </w:rPr>
              <w:t xml:space="preserve"> </w:t>
            </w:r>
            <w:r w:rsidR="005175B9" w:rsidRPr="005175B9">
              <w:rPr>
                <w:b/>
              </w:rPr>
              <w:t>the 1967 war</w:t>
            </w:r>
          </w:p>
          <w:p w14:paraId="09B19059" w14:textId="77777777" w:rsidR="003E5418" w:rsidRPr="0052276D" w:rsidRDefault="003E5418" w:rsidP="00A01FBF">
            <w:pPr>
              <w:pStyle w:val="Tabletextbullets"/>
            </w:pPr>
            <w:r>
              <w:t>UN Resolution 242 and continued dispute over the Suez Canal.</w:t>
            </w:r>
          </w:p>
        </w:tc>
      </w:tr>
      <w:tr w:rsidR="005D5035" w:rsidRPr="002B4ED0" w14:paraId="0D76C986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3DF554F" w14:textId="77777777" w:rsidR="005D5035" w:rsidRDefault="005D5035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59D8B175" w14:textId="77777777" w:rsidR="003E5418" w:rsidRDefault="003E5418" w:rsidP="00A01FBF">
            <w:pPr>
              <w:pStyle w:val="Tabletextbullets"/>
            </w:pPr>
            <w:r>
              <w:t>Palestinian refugees and the significance of the occupied territories: Golan Heights, Gaza Strip, West Bank, Sinai and East Jerusalem.</w:t>
            </w:r>
          </w:p>
          <w:p w14:paraId="691CB5C9" w14:textId="77777777" w:rsidR="005D5035" w:rsidRPr="0052276D" w:rsidRDefault="003E5418" w:rsidP="00A01FBF">
            <w:pPr>
              <w:pStyle w:val="Tabletextbullets"/>
            </w:pPr>
            <w:r>
              <w:t>The use of terrorism, Israel’s response and international attitudes towards the Palestine issue: the PFLP airplane hijacks of 1970; Black September and the Munich Olympics. The expulsion of the PLO from Jordan</w:t>
            </w:r>
            <w:r w:rsidR="00D13372">
              <w:t xml:space="preserve"> (</w:t>
            </w:r>
            <w:r>
              <w:t>1970</w:t>
            </w:r>
            <w:r w:rsidR="00D13372">
              <w:t>)</w:t>
            </w:r>
            <w:r>
              <w:t>.</w:t>
            </w:r>
          </w:p>
        </w:tc>
      </w:tr>
      <w:tr w:rsidR="005D5035" w:rsidRPr="002B4ED0" w14:paraId="4EAACF03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11DC391" w14:textId="77777777" w:rsidR="005D5035" w:rsidRDefault="005D5035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DE459C3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0C543747" w14:textId="77777777" w:rsidR="005D5035" w:rsidRPr="00853391" w:rsidRDefault="003E5418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2.3 Israel and Egypt, 1967–73</w:t>
            </w:r>
          </w:p>
          <w:p w14:paraId="15D9636E" w14:textId="77777777" w:rsidR="003E5418" w:rsidRDefault="003E5418" w:rsidP="00A01FBF">
            <w:pPr>
              <w:pStyle w:val="Tabletextbullets"/>
            </w:pPr>
            <w:r>
              <w:t xml:space="preserve">Egyptian relations with Israel, the USA, the USSR and </w:t>
            </w:r>
            <w:r w:rsidR="00AC1728">
              <w:t xml:space="preserve">other </w:t>
            </w:r>
            <w:r>
              <w:t xml:space="preserve">Arab states. </w:t>
            </w:r>
          </w:p>
          <w:p w14:paraId="4FC8351F" w14:textId="77777777" w:rsidR="003E5418" w:rsidRPr="0052276D" w:rsidRDefault="003E5418" w:rsidP="009D7309">
            <w:pPr>
              <w:pStyle w:val="Tabletextbullets"/>
            </w:pPr>
            <w:r>
              <w:t>Israel</w:t>
            </w:r>
            <w:r w:rsidR="00421741">
              <w:t>’s</w:t>
            </w:r>
            <w:r>
              <w:t xml:space="preserve"> consolidation of control of the occupied territories. </w:t>
            </w:r>
          </w:p>
        </w:tc>
      </w:tr>
      <w:tr w:rsidR="008567DD" w:rsidRPr="002B4ED0" w14:paraId="49384985" w14:textId="77777777" w:rsidTr="00176D82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09D47D63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37DAE388" w14:textId="77777777" w:rsidR="009D7309" w:rsidRPr="009D7309" w:rsidRDefault="009D7309" w:rsidP="009D7309">
            <w:pPr>
              <w:pStyle w:val="Tabletextbullets"/>
              <w:rPr>
                <w:szCs w:val="18"/>
              </w:rPr>
            </w:pPr>
            <w:r w:rsidRPr="009D7309">
              <w:rPr>
                <w:szCs w:val="18"/>
              </w:rPr>
              <w:t>Key events of the Yom Kippur War</w:t>
            </w:r>
            <w:r w:rsidR="00421741">
              <w:rPr>
                <w:szCs w:val="18"/>
              </w:rPr>
              <w:t xml:space="preserve"> (</w:t>
            </w:r>
            <w:r w:rsidRPr="009D7309">
              <w:rPr>
                <w:szCs w:val="18"/>
              </w:rPr>
              <w:t>1973</w:t>
            </w:r>
            <w:r w:rsidR="00421741">
              <w:rPr>
                <w:szCs w:val="18"/>
              </w:rPr>
              <w:t>)</w:t>
            </w:r>
            <w:r w:rsidRPr="009D7309">
              <w:rPr>
                <w:szCs w:val="18"/>
              </w:rPr>
              <w:t xml:space="preserve"> and its aftermath.</w:t>
            </w:r>
          </w:p>
          <w:p w14:paraId="6357A475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344D045B" w14:textId="77777777" w:rsidR="008567DD" w:rsidRPr="00853391" w:rsidRDefault="003E5418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3.1 Diplomatic negotiations</w:t>
            </w:r>
          </w:p>
          <w:p w14:paraId="09ACE776" w14:textId="77777777" w:rsidR="003E5418" w:rsidRPr="00A01FBF" w:rsidRDefault="003E5418" w:rsidP="00A01FBF">
            <w:pPr>
              <w:pStyle w:val="Tabletextbullets"/>
              <w:rPr>
                <w:szCs w:val="18"/>
              </w:rPr>
            </w:pPr>
            <w:r w:rsidRPr="003E5418">
              <w:rPr>
                <w:szCs w:val="18"/>
              </w:rPr>
              <w:t>The significance of the oil crisis and the involvement of the USA and the USSR.</w:t>
            </w:r>
          </w:p>
        </w:tc>
      </w:tr>
      <w:tr w:rsidR="008567DD" w:rsidRPr="002B4ED0" w14:paraId="0B4D3AB3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F69613D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58C4268B" w14:textId="77777777" w:rsidR="009D7309" w:rsidRDefault="009D7309" w:rsidP="009D7309">
            <w:pPr>
              <w:pStyle w:val="Tabletextbullets"/>
            </w:pPr>
            <w:r>
              <w:t>Kissinger, ‘shuttle diplomacy’ and the reopening of the Suez Canal.</w:t>
            </w:r>
          </w:p>
          <w:p w14:paraId="780783FA" w14:textId="77777777" w:rsidR="009D7309" w:rsidRDefault="009D7309" w:rsidP="009D7309">
            <w:pPr>
              <w:pStyle w:val="Tabletextbullets"/>
            </w:pPr>
            <w:r>
              <w:t xml:space="preserve">Sadat’s visit to Israel (1977), Begin’s visit to Egypt (1977), US President Carter and Camp David (1978) and the Treaty of Washington </w:t>
            </w:r>
            <w:r w:rsidR="00711027">
              <w:t>(</w:t>
            </w:r>
            <w:r>
              <w:t>1979</w:t>
            </w:r>
            <w:r w:rsidR="00711027">
              <w:t>)</w:t>
            </w:r>
            <w:r>
              <w:t>.</w:t>
            </w:r>
          </w:p>
          <w:p w14:paraId="535EF3B9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7CB8DB3E" w14:textId="77777777" w:rsidR="009D7309" w:rsidRPr="00853391" w:rsidRDefault="009D7309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 xml:space="preserve">Key topic 3.2 The Palestinian issue </w:t>
            </w:r>
          </w:p>
          <w:p w14:paraId="5ABFCDF6" w14:textId="77777777" w:rsidR="008567DD" w:rsidRPr="003E5418" w:rsidRDefault="009D7309" w:rsidP="00A01FBF">
            <w:pPr>
              <w:pStyle w:val="Tabletextbullets"/>
            </w:pPr>
            <w:r w:rsidRPr="009D7309">
              <w:t xml:space="preserve">Arafat’s speech to the UN (1974). The significance of PLO activities in Lebanon. </w:t>
            </w:r>
          </w:p>
        </w:tc>
      </w:tr>
      <w:tr w:rsidR="008567DD" w:rsidRPr="002B4ED0" w14:paraId="254D5743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CD1A0D2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10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113702F" w14:textId="77777777" w:rsidR="009D7309" w:rsidRDefault="009D7309" w:rsidP="009D7309">
            <w:pPr>
              <w:pStyle w:val="Tabletextbullets"/>
            </w:pPr>
            <w:r>
              <w:t>Israeli reprisals, the invasion of Lebanon</w:t>
            </w:r>
            <w:r w:rsidR="00531CF1">
              <w:t xml:space="preserve"> (</w:t>
            </w:r>
            <w:r>
              <w:t>1982</w:t>
            </w:r>
            <w:r w:rsidR="00531CF1">
              <w:t>)</w:t>
            </w:r>
            <w:r>
              <w:t xml:space="preserve"> and the results.</w:t>
            </w:r>
          </w:p>
          <w:p w14:paraId="61C37105" w14:textId="77777777" w:rsidR="009D7309" w:rsidRDefault="009D7309" w:rsidP="009D7309">
            <w:pPr>
              <w:pStyle w:val="Tabletextbullets"/>
            </w:pPr>
            <w:r>
              <w:t xml:space="preserve">The Israeli occupied territories and the </w:t>
            </w:r>
            <w:r w:rsidR="00531CF1">
              <w:t xml:space="preserve">First </w:t>
            </w:r>
            <w:r>
              <w:t>Palestinian Intifada</w:t>
            </w:r>
            <w:r w:rsidR="00531CF1">
              <w:t xml:space="preserve"> (</w:t>
            </w:r>
            <w:r>
              <w:t>1987–93</w:t>
            </w:r>
            <w:r w:rsidR="00531CF1">
              <w:t>)</w:t>
            </w:r>
            <w:r>
              <w:t>.</w:t>
            </w:r>
          </w:p>
          <w:p w14:paraId="21D3C4A1" w14:textId="77777777" w:rsidR="00D54865" w:rsidRDefault="00D54865" w:rsidP="00853391">
            <w:pPr>
              <w:pStyle w:val="Tabletext"/>
              <w:rPr>
                <w:b/>
              </w:rPr>
            </w:pPr>
          </w:p>
          <w:p w14:paraId="542B2470" w14:textId="77777777" w:rsidR="009D7309" w:rsidRPr="00853391" w:rsidRDefault="009D7309" w:rsidP="00853391">
            <w:pPr>
              <w:pStyle w:val="Tabletext"/>
              <w:rPr>
                <w:b/>
              </w:rPr>
            </w:pPr>
            <w:r w:rsidRPr="00853391">
              <w:rPr>
                <w:b/>
              </w:rPr>
              <w:t>Key topic 3.3 Attempts at a solution</w:t>
            </w:r>
          </w:p>
          <w:p w14:paraId="1621AF43" w14:textId="77777777" w:rsidR="008567DD" w:rsidRPr="003E5418" w:rsidRDefault="009D7309" w:rsidP="00A01FBF">
            <w:pPr>
              <w:pStyle w:val="Tabletextbullets"/>
            </w:pPr>
            <w:r w:rsidRPr="009D7309">
              <w:t>The significance of Arafat’s renunciation of terrorism in a speech at the UN</w:t>
            </w:r>
            <w:r w:rsidR="00925CD2">
              <w:t xml:space="preserve"> (</w:t>
            </w:r>
            <w:r w:rsidRPr="009D7309">
              <w:t>1988</w:t>
            </w:r>
            <w:r w:rsidR="00925CD2">
              <w:t>)</w:t>
            </w:r>
            <w:r w:rsidRPr="009D7309">
              <w:t>.</w:t>
            </w:r>
          </w:p>
        </w:tc>
      </w:tr>
      <w:tr w:rsidR="008567DD" w:rsidRPr="002B4ED0" w14:paraId="049FBA10" w14:textId="77777777" w:rsidTr="00176D82">
        <w:trPr>
          <w:cantSplit/>
          <w:trHeight w:val="77"/>
        </w:trPr>
        <w:tc>
          <w:tcPr>
            <w:tcW w:w="430" w:type="pct"/>
            <w:tcBorders>
              <w:top w:val="single" w:sz="4" w:space="0" w:color="999999"/>
            </w:tcBorders>
            <w:shd w:val="clear" w:color="auto" w:fill="auto"/>
          </w:tcPr>
          <w:p w14:paraId="2319687A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4570" w:type="pct"/>
            <w:tcBorders>
              <w:top w:val="single" w:sz="4" w:space="0" w:color="999999"/>
            </w:tcBorders>
          </w:tcPr>
          <w:p w14:paraId="20C9E092" w14:textId="77777777" w:rsidR="003E5418" w:rsidRPr="009D7309" w:rsidRDefault="003E5418" w:rsidP="009D7309">
            <w:pPr>
              <w:pStyle w:val="Tabletextbullets"/>
            </w:pPr>
            <w:r w:rsidRPr="009D7309">
              <w:t>Changing superpower policies in the Middle East: US involvement in the Gulf War</w:t>
            </w:r>
            <w:r w:rsidR="00B75E66">
              <w:t xml:space="preserve"> (</w:t>
            </w:r>
            <w:r w:rsidRPr="009D7309">
              <w:t>1991</w:t>
            </w:r>
            <w:r w:rsidR="00B75E66">
              <w:t>)</w:t>
            </w:r>
            <w:r w:rsidRPr="009D7309">
              <w:t xml:space="preserve"> and the end of the Cold War. </w:t>
            </w:r>
          </w:p>
          <w:p w14:paraId="7BB9091E" w14:textId="77777777" w:rsidR="008567DD" w:rsidRPr="008F0D2A" w:rsidRDefault="003E5418" w:rsidP="009D7309">
            <w:pPr>
              <w:pStyle w:val="Tabletextbullets"/>
            </w:pPr>
            <w:r w:rsidRPr="009D7309">
              <w:t>Arafat, Rabin and the Oslo Accord</w:t>
            </w:r>
            <w:r w:rsidR="000B3A7C">
              <w:t>s</w:t>
            </w:r>
            <w:r w:rsidRPr="009D7309">
              <w:t xml:space="preserve"> (1993)</w:t>
            </w:r>
            <w:r w:rsidR="00613504">
              <w:t>; the setting up of the Palestinian National Authority;</w:t>
            </w:r>
            <w:r w:rsidRPr="009D7309">
              <w:t xml:space="preserve"> Israel-Jordan peace treaty (1994), Oslo II (1995).</w:t>
            </w:r>
          </w:p>
        </w:tc>
      </w:tr>
      <w:tr w:rsidR="008567DD" w:rsidRPr="002B4ED0" w14:paraId="4C42CED4" w14:textId="77777777" w:rsidTr="00176D82">
        <w:trPr>
          <w:cantSplit/>
          <w:trHeight w:val="400"/>
        </w:trPr>
        <w:tc>
          <w:tcPr>
            <w:tcW w:w="430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EB1BC85" w14:textId="77777777" w:rsidR="008567DD" w:rsidRDefault="008567DD" w:rsidP="00176D82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570" w:type="pct"/>
            <w:tcBorders>
              <w:top w:val="single" w:sz="4" w:space="0" w:color="999999"/>
              <w:bottom w:val="single" w:sz="4" w:space="0" w:color="999999"/>
            </w:tcBorders>
          </w:tcPr>
          <w:p w14:paraId="039A29D0" w14:textId="77777777" w:rsidR="008567DD" w:rsidRPr="005175B9" w:rsidRDefault="00E6713E" w:rsidP="009D7309">
            <w:pPr>
              <w:pStyle w:val="Tabletextbullets"/>
              <w:rPr>
                <w:i/>
              </w:rPr>
            </w:pPr>
            <w:r w:rsidRPr="005175B9">
              <w:rPr>
                <w:i/>
              </w:rPr>
              <w:t>Review and a</w:t>
            </w:r>
            <w:r w:rsidR="008F0D2A" w:rsidRPr="005175B9">
              <w:rPr>
                <w:i/>
              </w:rPr>
              <w:t xml:space="preserve">ssessment of </w:t>
            </w:r>
            <w:r w:rsidR="009D7309" w:rsidRPr="005175B9">
              <w:rPr>
                <w:i/>
              </w:rPr>
              <w:t>Conflict in the Middle East, 1945–95</w:t>
            </w:r>
            <w:r w:rsidR="00853391" w:rsidRPr="005175B9">
              <w:rPr>
                <w:i/>
              </w:rPr>
              <w:t>.</w:t>
            </w:r>
            <w:r w:rsidR="009D7309" w:rsidRPr="005175B9">
              <w:rPr>
                <w:i/>
              </w:rPr>
              <w:t xml:space="preserve"> </w:t>
            </w:r>
          </w:p>
        </w:tc>
      </w:tr>
    </w:tbl>
    <w:p w14:paraId="3A0572AF" w14:textId="77777777" w:rsidR="004F15B2" w:rsidRDefault="004F15B2" w:rsidP="009D7309">
      <w:pPr>
        <w:pStyle w:val="text"/>
        <w:ind w:left="0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639D" w14:textId="77777777" w:rsidR="00AE12F0" w:rsidRDefault="00AE12F0">
      <w:r>
        <w:separator/>
      </w:r>
    </w:p>
  </w:endnote>
  <w:endnote w:type="continuationSeparator" w:id="0">
    <w:p w14:paraId="27B8A0D9" w14:textId="77777777" w:rsidR="00AE12F0" w:rsidRDefault="00AE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roman"/>
    <w:notTrueType/>
    <w:pitch w:val="default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A0991" w14:textId="77777777" w:rsidR="008600F6" w:rsidRDefault="00AA10BC">
    <w:pPr>
      <w:pStyle w:val="Footer"/>
    </w:pPr>
    <w:r>
      <w:rPr>
        <w:noProof/>
        <w:lang w:eastAsia="en-GB"/>
      </w:rPr>
      <w:pict w14:anchorId="3FF1BF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217F9" w14:textId="77777777" w:rsidR="008600F6" w:rsidRDefault="00AA10BC" w:rsidP="008600F6">
    <w:r>
      <w:rPr>
        <w:noProof/>
        <w:lang w:eastAsia="en-GB"/>
      </w:rPr>
      <w:pict w14:anchorId="1EE81A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6A7C" w14:textId="77777777" w:rsidR="00F556EB" w:rsidRDefault="00E07809" w:rsidP="00F556EB">
    <w:pPr>
      <w:pStyle w:val="Footer"/>
    </w:pPr>
    <w:r>
      <w:t xml:space="preserve">Issue 2 </w:t>
    </w:r>
    <w:r w:rsidR="00F556EB">
      <w:t>© Pearson</w:t>
    </w:r>
    <w:r>
      <w:t xml:space="preserve"> Education Ltd </w:t>
    </w:r>
    <w:r w:rsidR="00F556EB">
      <w:t>20</w:t>
    </w:r>
    <w:r>
      <w:t>2</w:t>
    </w:r>
    <w:r w:rsidR="00B965DB">
      <w:t>1</w:t>
    </w:r>
  </w:p>
  <w:p w14:paraId="47FFCF05" w14:textId="77777777" w:rsidR="00F556EB" w:rsidRDefault="00F556EB" w:rsidP="00F556E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59B5">
      <w:rPr>
        <w:noProof/>
      </w:rPr>
      <w:t>4</w:t>
    </w:r>
    <w:r>
      <w:fldChar w:fldCharType="end"/>
    </w:r>
  </w:p>
  <w:p w14:paraId="3BB5C098" w14:textId="77777777" w:rsidR="008600F6" w:rsidRDefault="008600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AC63" w14:textId="77777777" w:rsidR="003312CD" w:rsidRDefault="00794AFE" w:rsidP="003312CD">
    <w:pPr>
      <w:pStyle w:val="Footer"/>
    </w:pPr>
    <w:r>
      <w:t xml:space="preserve">Issue </w:t>
    </w:r>
    <w:r w:rsidR="00176D82">
      <w:t>3</w:t>
    </w:r>
    <w:r>
      <w:t xml:space="preserve"> © Pearson Education Ltd 202</w:t>
    </w:r>
    <w:r w:rsidR="00176D82">
      <w:t>4</w:t>
    </w:r>
  </w:p>
  <w:p w14:paraId="04170A3D" w14:textId="77777777" w:rsidR="003312CD" w:rsidRDefault="003312CD" w:rsidP="003312C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59B5">
      <w:rPr>
        <w:noProof/>
      </w:rPr>
      <w:t>1</w:t>
    </w:r>
    <w:r>
      <w:fldChar w:fldCharType="end"/>
    </w:r>
  </w:p>
  <w:p w14:paraId="02F08973" w14:textId="77777777" w:rsidR="008600F6" w:rsidRDefault="00860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6AFA" w14:textId="77777777" w:rsidR="00AE12F0" w:rsidRDefault="00AE12F0">
      <w:r>
        <w:separator/>
      </w:r>
    </w:p>
  </w:footnote>
  <w:footnote w:type="continuationSeparator" w:id="0">
    <w:p w14:paraId="706F85FF" w14:textId="77777777" w:rsidR="00AE12F0" w:rsidRDefault="00AE1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439D6" w14:textId="77777777" w:rsidR="008600F6" w:rsidRDefault="00AA10BC">
    <w:pPr>
      <w:pStyle w:val="Header"/>
    </w:pPr>
    <w:r>
      <w:rPr>
        <w:noProof/>
      </w:rPr>
      <w:pict w14:anchorId="104B9D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69C42" w14:textId="77777777" w:rsidR="008600F6" w:rsidRDefault="00AA10BC">
    <w:pPr>
      <w:pStyle w:val="Header"/>
    </w:pPr>
    <w:r>
      <w:rPr>
        <w:noProof/>
        <w:lang w:eastAsia="en-GB"/>
      </w:rPr>
      <w:pict w14:anchorId="3843DF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60EC" w14:textId="77777777" w:rsidR="008600F6" w:rsidRDefault="00AA10BC" w:rsidP="00007504">
    <w:pPr>
      <w:pStyle w:val="IconRight"/>
      <w:framePr w:wrap="around"/>
    </w:pPr>
    <w:r>
      <w:rPr>
        <w:noProof/>
      </w:rPr>
      <w:pict w14:anchorId="494225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pt;height:42.5pt;mso-position-horizontal-relative:page;mso-position-vertical-relative:page" o:allowoverlap="f">
          <v:imagedata r:id="rId1" o:title="LFABF_Green_Logo"/>
        </v:shape>
      </w:pict>
    </w:r>
  </w:p>
  <w:p w14:paraId="1FDF1C12" w14:textId="77777777" w:rsidR="008600F6" w:rsidRDefault="008600F6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367BB" w14:textId="77777777" w:rsidR="008600F6" w:rsidRDefault="008600F6" w:rsidP="00007504">
    <w:pPr>
      <w:pStyle w:val="Icon"/>
      <w:framePr w:wrap="around"/>
    </w:pPr>
  </w:p>
  <w:p w14:paraId="57FF55A3" w14:textId="77777777" w:rsidR="008600F6" w:rsidRDefault="008600F6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7ABCA" w14:textId="77777777" w:rsidR="008600F6" w:rsidRDefault="008600F6" w:rsidP="00007504">
    <w:pPr>
      <w:pStyle w:val="IconRight"/>
      <w:framePr w:wrap="around"/>
    </w:pPr>
  </w:p>
  <w:p w14:paraId="61262592" w14:textId="77777777" w:rsidR="008600F6" w:rsidRDefault="008600F6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7D9B" w14:textId="77777777" w:rsidR="008600F6" w:rsidRPr="002A4917" w:rsidRDefault="008600F6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80CE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63D45"/>
    <w:multiLevelType w:val="hybridMultilevel"/>
    <w:tmpl w:val="5EDA4F56"/>
    <w:lvl w:ilvl="0" w:tplc="D92E6444">
      <w:start w:val="1"/>
      <w:numFmt w:val="bullet"/>
      <w:pStyle w:val="tex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80E43E76"/>
    <w:numStyleLink w:val="Listnum"/>
  </w:abstractNum>
  <w:abstractNum w:abstractNumId="20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21B33"/>
    <w:multiLevelType w:val="hybridMultilevel"/>
    <w:tmpl w:val="8ED8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80E43E76"/>
    <w:numStyleLink w:val="Listnum"/>
  </w:abstractNum>
  <w:abstractNum w:abstractNumId="23" w15:restartNumberingAfterBreak="0">
    <w:nsid w:val="390D7980"/>
    <w:multiLevelType w:val="hybridMultilevel"/>
    <w:tmpl w:val="8DC8BE30"/>
    <w:lvl w:ilvl="0" w:tplc="BFBE8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A6604"/>
    <w:multiLevelType w:val="hybridMultilevel"/>
    <w:tmpl w:val="0BD8CC68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64966"/>
    <w:multiLevelType w:val="hybridMultilevel"/>
    <w:tmpl w:val="5A0E2A64"/>
    <w:lvl w:ilvl="0" w:tplc="080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6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279B0"/>
    <w:multiLevelType w:val="multilevel"/>
    <w:tmpl w:val="29505346"/>
    <w:numStyleLink w:val="Listtable"/>
  </w:abstractNum>
  <w:abstractNum w:abstractNumId="29" w15:restartNumberingAfterBreak="0">
    <w:nsid w:val="5EB80318"/>
    <w:multiLevelType w:val="hybridMultilevel"/>
    <w:tmpl w:val="A692A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246464C"/>
    <w:multiLevelType w:val="hybridMultilevel"/>
    <w:tmpl w:val="B2F04BC6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14233850">
    <w:abstractNumId w:val="35"/>
  </w:num>
  <w:num w:numId="2" w16cid:durableId="2141918528">
    <w:abstractNumId w:val="33"/>
  </w:num>
  <w:num w:numId="3" w16cid:durableId="1603564339">
    <w:abstractNumId w:val="10"/>
  </w:num>
  <w:num w:numId="4" w16cid:durableId="778141491">
    <w:abstractNumId w:val="34"/>
  </w:num>
  <w:num w:numId="5" w16cid:durableId="494994363">
    <w:abstractNumId w:val="20"/>
  </w:num>
  <w:num w:numId="6" w16cid:durableId="1172137335">
    <w:abstractNumId w:val="22"/>
  </w:num>
  <w:num w:numId="7" w16cid:durableId="1559592186">
    <w:abstractNumId w:val="19"/>
  </w:num>
  <w:num w:numId="8" w16cid:durableId="1226063717">
    <w:abstractNumId w:val="31"/>
  </w:num>
  <w:num w:numId="9" w16cid:durableId="1232079765">
    <w:abstractNumId w:val="14"/>
  </w:num>
  <w:num w:numId="10" w16cid:durableId="2010012984">
    <w:abstractNumId w:val="32"/>
  </w:num>
  <w:num w:numId="11" w16cid:durableId="2064451301">
    <w:abstractNumId w:val="13"/>
  </w:num>
  <w:num w:numId="12" w16cid:durableId="807623845">
    <w:abstractNumId w:val="28"/>
  </w:num>
  <w:num w:numId="13" w16cid:durableId="1772313162">
    <w:abstractNumId w:val="9"/>
  </w:num>
  <w:num w:numId="14" w16cid:durableId="79983997">
    <w:abstractNumId w:val="7"/>
  </w:num>
  <w:num w:numId="15" w16cid:durableId="154342937">
    <w:abstractNumId w:val="6"/>
  </w:num>
  <w:num w:numId="16" w16cid:durableId="1785298352">
    <w:abstractNumId w:val="5"/>
  </w:num>
  <w:num w:numId="17" w16cid:durableId="761685460">
    <w:abstractNumId w:val="4"/>
  </w:num>
  <w:num w:numId="18" w16cid:durableId="1429353864">
    <w:abstractNumId w:val="8"/>
  </w:num>
  <w:num w:numId="19" w16cid:durableId="1664814322">
    <w:abstractNumId w:val="3"/>
  </w:num>
  <w:num w:numId="20" w16cid:durableId="1322390742">
    <w:abstractNumId w:val="2"/>
  </w:num>
  <w:num w:numId="21" w16cid:durableId="418449297">
    <w:abstractNumId w:val="1"/>
  </w:num>
  <w:num w:numId="22" w16cid:durableId="1735203911">
    <w:abstractNumId w:val="0"/>
  </w:num>
  <w:num w:numId="23" w16cid:durableId="126515646">
    <w:abstractNumId w:val="11"/>
  </w:num>
  <w:num w:numId="24" w16cid:durableId="1205293492">
    <w:abstractNumId w:val="15"/>
  </w:num>
  <w:num w:numId="25" w16cid:durableId="1070885933">
    <w:abstractNumId w:val="27"/>
  </w:num>
  <w:num w:numId="26" w16cid:durableId="1013530447">
    <w:abstractNumId w:val="26"/>
  </w:num>
  <w:num w:numId="27" w16cid:durableId="1877308688">
    <w:abstractNumId w:val="18"/>
  </w:num>
  <w:num w:numId="28" w16cid:durableId="1237788331">
    <w:abstractNumId w:val="30"/>
  </w:num>
  <w:num w:numId="29" w16cid:durableId="755712512">
    <w:abstractNumId w:val="16"/>
  </w:num>
  <w:num w:numId="30" w16cid:durableId="1238173909">
    <w:abstractNumId w:val="32"/>
  </w:num>
  <w:num w:numId="31" w16cid:durableId="170948430">
    <w:abstractNumId w:val="12"/>
  </w:num>
  <w:num w:numId="32" w16cid:durableId="859051074">
    <w:abstractNumId w:val="25"/>
  </w:num>
  <w:num w:numId="33" w16cid:durableId="1848666604">
    <w:abstractNumId w:val="24"/>
  </w:num>
  <w:num w:numId="34" w16cid:durableId="1427269203">
    <w:abstractNumId w:val="17"/>
  </w:num>
  <w:num w:numId="35" w16cid:durableId="965698955">
    <w:abstractNumId w:val="23"/>
  </w:num>
  <w:num w:numId="36" w16cid:durableId="1134563083">
    <w:abstractNumId w:val="21"/>
  </w:num>
  <w:num w:numId="37" w16cid:durableId="1424179529">
    <w:abstractNumId w:val="32"/>
  </w:num>
  <w:num w:numId="38" w16cid:durableId="1215312347">
    <w:abstractNumId w:val="32"/>
  </w:num>
  <w:num w:numId="39" w16cid:durableId="1595937146">
    <w:abstractNumId w:val="29"/>
  </w:num>
  <w:num w:numId="40" w16cid:durableId="830101984">
    <w:abstractNumId w:val="32"/>
  </w:num>
  <w:num w:numId="41" w16cid:durableId="786657788">
    <w:abstractNumId w:val="32"/>
  </w:num>
  <w:num w:numId="42" w16cid:durableId="428938630">
    <w:abstractNumId w:val="32"/>
  </w:num>
  <w:num w:numId="43" w16cid:durableId="1949504512">
    <w:abstractNumId w:val="32"/>
  </w:num>
  <w:num w:numId="44" w16cid:durableId="1769546612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37743"/>
    <w:rsid w:val="000405DD"/>
    <w:rsid w:val="000479F7"/>
    <w:rsid w:val="0006146D"/>
    <w:rsid w:val="000B32B0"/>
    <w:rsid w:val="000B3A7C"/>
    <w:rsid w:val="000C6CF9"/>
    <w:rsid w:val="000D1FB8"/>
    <w:rsid w:val="00130940"/>
    <w:rsid w:val="00176D82"/>
    <w:rsid w:val="00180E68"/>
    <w:rsid w:val="001A174D"/>
    <w:rsid w:val="001B3491"/>
    <w:rsid w:val="001E239D"/>
    <w:rsid w:val="002229E7"/>
    <w:rsid w:val="00264CC4"/>
    <w:rsid w:val="00282954"/>
    <w:rsid w:val="002A21ED"/>
    <w:rsid w:val="002A4917"/>
    <w:rsid w:val="003143FB"/>
    <w:rsid w:val="00316446"/>
    <w:rsid w:val="00324D84"/>
    <w:rsid w:val="003312CD"/>
    <w:rsid w:val="0037174F"/>
    <w:rsid w:val="00377CAC"/>
    <w:rsid w:val="00394A27"/>
    <w:rsid w:val="003E5418"/>
    <w:rsid w:val="003E693A"/>
    <w:rsid w:val="003F4E77"/>
    <w:rsid w:val="003F6E33"/>
    <w:rsid w:val="00415D03"/>
    <w:rsid w:val="00421741"/>
    <w:rsid w:val="00436C99"/>
    <w:rsid w:val="00443043"/>
    <w:rsid w:val="00452AAB"/>
    <w:rsid w:val="00461D34"/>
    <w:rsid w:val="004746CE"/>
    <w:rsid w:val="004A7E9D"/>
    <w:rsid w:val="004F15B2"/>
    <w:rsid w:val="004F163A"/>
    <w:rsid w:val="0050320A"/>
    <w:rsid w:val="00513CAC"/>
    <w:rsid w:val="005175B9"/>
    <w:rsid w:val="00531CF1"/>
    <w:rsid w:val="00532F9E"/>
    <w:rsid w:val="005566B1"/>
    <w:rsid w:val="00557C06"/>
    <w:rsid w:val="00580B47"/>
    <w:rsid w:val="00593DA9"/>
    <w:rsid w:val="0059686E"/>
    <w:rsid w:val="005B4E2E"/>
    <w:rsid w:val="005D5035"/>
    <w:rsid w:val="0061232F"/>
    <w:rsid w:val="00613504"/>
    <w:rsid w:val="00621844"/>
    <w:rsid w:val="00630376"/>
    <w:rsid w:val="006328BB"/>
    <w:rsid w:val="00632C67"/>
    <w:rsid w:val="006423C2"/>
    <w:rsid w:val="006C399D"/>
    <w:rsid w:val="00711027"/>
    <w:rsid w:val="00770AC4"/>
    <w:rsid w:val="0078688B"/>
    <w:rsid w:val="00791717"/>
    <w:rsid w:val="00794AFE"/>
    <w:rsid w:val="007B2E7C"/>
    <w:rsid w:val="007D198F"/>
    <w:rsid w:val="007E2E98"/>
    <w:rsid w:val="00805336"/>
    <w:rsid w:val="00836701"/>
    <w:rsid w:val="008449A7"/>
    <w:rsid w:val="00853391"/>
    <w:rsid w:val="008567DD"/>
    <w:rsid w:val="008600F6"/>
    <w:rsid w:val="00892512"/>
    <w:rsid w:val="008A3601"/>
    <w:rsid w:val="008B10E5"/>
    <w:rsid w:val="008D3CA4"/>
    <w:rsid w:val="008E4299"/>
    <w:rsid w:val="008F0D2A"/>
    <w:rsid w:val="008F6B94"/>
    <w:rsid w:val="008F77A3"/>
    <w:rsid w:val="00912436"/>
    <w:rsid w:val="0091514E"/>
    <w:rsid w:val="00925CD2"/>
    <w:rsid w:val="0093385A"/>
    <w:rsid w:val="00966398"/>
    <w:rsid w:val="009859B5"/>
    <w:rsid w:val="009D7309"/>
    <w:rsid w:val="00A010A8"/>
    <w:rsid w:val="00A01FBF"/>
    <w:rsid w:val="00A23C84"/>
    <w:rsid w:val="00A42441"/>
    <w:rsid w:val="00A9252F"/>
    <w:rsid w:val="00AA10BC"/>
    <w:rsid w:val="00AC1728"/>
    <w:rsid w:val="00AC7311"/>
    <w:rsid w:val="00AE12F0"/>
    <w:rsid w:val="00AE7278"/>
    <w:rsid w:val="00B75E66"/>
    <w:rsid w:val="00B84960"/>
    <w:rsid w:val="00B965DB"/>
    <w:rsid w:val="00BA3CE0"/>
    <w:rsid w:val="00C508DF"/>
    <w:rsid w:val="00CC5D35"/>
    <w:rsid w:val="00CE495F"/>
    <w:rsid w:val="00D13372"/>
    <w:rsid w:val="00D34266"/>
    <w:rsid w:val="00D43068"/>
    <w:rsid w:val="00D52187"/>
    <w:rsid w:val="00D54865"/>
    <w:rsid w:val="00D82E41"/>
    <w:rsid w:val="00D86DAD"/>
    <w:rsid w:val="00DD1B75"/>
    <w:rsid w:val="00E07809"/>
    <w:rsid w:val="00E15475"/>
    <w:rsid w:val="00E24ABF"/>
    <w:rsid w:val="00E3143C"/>
    <w:rsid w:val="00E650FE"/>
    <w:rsid w:val="00E656F5"/>
    <w:rsid w:val="00E6713E"/>
    <w:rsid w:val="00E90A1E"/>
    <w:rsid w:val="00EC0AF2"/>
    <w:rsid w:val="00EC4557"/>
    <w:rsid w:val="00EF0C0F"/>
    <w:rsid w:val="00F214B8"/>
    <w:rsid w:val="00F22BAC"/>
    <w:rsid w:val="00F556EB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1E34F129"/>
  <w15:chartTrackingRefBased/>
  <w15:docId w15:val="{266AE5EB-A7A3-4376-9605-E7587E63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paragraph" w:customStyle="1" w:styleId="BackCover">
    <w:name w:val="BackCover"/>
    <w:rsid w:val="005D5035"/>
    <w:pPr>
      <w:spacing w:line="180" w:lineRule="exact"/>
    </w:pPr>
    <w:rPr>
      <w:rFonts w:ascii="Verdana" w:hAnsi="Verdana"/>
      <w:b/>
      <w:sz w:val="12"/>
      <w:lang w:eastAsia="en-US"/>
    </w:rPr>
  </w:style>
  <w:style w:type="paragraph" w:styleId="ListBullet">
    <w:name w:val="List Bullet"/>
    <w:basedOn w:val="Normal"/>
    <w:rsid w:val="005D5035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character" w:customStyle="1" w:styleId="HeaderChar">
    <w:name w:val="Header Char"/>
    <w:link w:val="Header"/>
    <w:rsid w:val="00966398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966398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966398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966398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966398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176D8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4507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2</cp:revision>
  <cp:lastPrinted>2015-11-16T18:36:00Z</cp:lastPrinted>
  <dcterms:created xsi:type="dcterms:W3CDTF">2024-12-17T17:17:00Z</dcterms:created>
  <dcterms:modified xsi:type="dcterms:W3CDTF">2024-12-17T17:17:00Z</dcterms:modified>
</cp:coreProperties>
</file>