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D42E0" w14:textId="77777777" w:rsidR="000B7DAE" w:rsidRPr="00671700" w:rsidRDefault="000B7DAE" w:rsidP="000B7DAE">
      <w:pPr>
        <w:pStyle w:val="Front0"/>
      </w:pPr>
      <w:r>
        <w:t>Option B</w:t>
      </w:r>
      <w:r w:rsidR="00395ACF">
        <w:t>4</w:t>
      </w:r>
      <w:r>
        <w:t xml:space="preserve"> scheme of work</w:t>
      </w:r>
    </w:p>
    <w:p w14:paraId="402B2C32" w14:textId="77777777" w:rsidR="000B7DAE" w:rsidRPr="00486F63" w:rsidRDefault="00395ACF" w:rsidP="005B15D9">
      <w:pPr>
        <w:pStyle w:val="Front1"/>
        <w:tabs>
          <w:tab w:val="right" w:pos="14175"/>
        </w:tabs>
        <w:spacing w:before="6000"/>
      </w:pPr>
      <w:r w:rsidRPr="00900C7F">
        <w:t>Early Elizabethan England, 1558–88</w:t>
      </w:r>
      <w:r w:rsidR="000B7DAE">
        <w:br/>
      </w:r>
      <w:r w:rsidR="000B7DAE" w:rsidRPr="00D61977">
        <w:rPr>
          <w:sz w:val="28"/>
          <w:szCs w:val="28"/>
        </w:rPr>
        <w:t>GCSE (9-1) History</w:t>
      </w:r>
      <w:r w:rsidR="005B15D9">
        <w:rPr>
          <w:sz w:val="28"/>
          <w:szCs w:val="28"/>
        </w:rPr>
        <w:t xml:space="preserve"> </w:t>
      </w:r>
      <w:r w:rsidR="005B15D9">
        <w:rPr>
          <w:sz w:val="28"/>
          <w:szCs w:val="28"/>
        </w:rPr>
        <w:tab/>
        <w:t>(v3 2024)</w:t>
      </w:r>
    </w:p>
    <w:p w14:paraId="534B4312" w14:textId="77777777" w:rsidR="000B7DAE" w:rsidRPr="00D61977" w:rsidRDefault="000B7DAE" w:rsidP="000B7DAE">
      <w:pPr>
        <w:pStyle w:val="Front2"/>
        <w:rPr>
          <w:sz w:val="24"/>
          <w:szCs w:val="24"/>
        </w:rPr>
      </w:pPr>
      <w:r w:rsidRPr="00D61977">
        <w:rPr>
          <w:sz w:val="24"/>
          <w:szCs w:val="24"/>
        </w:rPr>
        <w:t>Pearson Edexcel Level 1/Level 2 GCSE (9-1) in History (1HI0)</w:t>
      </w:r>
    </w:p>
    <w:p w14:paraId="0958D944" w14:textId="77777777" w:rsidR="000B7DAE" w:rsidRDefault="000B7DAE" w:rsidP="000B7DAE">
      <w:pPr>
        <w:pStyle w:val="Bodytext"/>
        <w:rPr>
          <w:lang w:eastAsia="en-GB"/>
        </w:rPr>
        <w:sectPr w:rsidR="000B7DAE" w:rsidSect="00AD16DA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134" w:right="1134" w:bottom="1134" w:left="1134" w:header="567" w:footer="425" w:gutter="0"/>
          <w:cols w:space="708"/>
        </w:sectPr>
      </w:pPr>
    </w:p>
    <w:p w14:paraId="3093C35F" w14:textId="77777777" w:rsidR="0081682B" w:rsidRDefault="0081682B" w:rsidP="0081682B">
      <w:pPr>
        <w:pStyle w:val="Ahead"/>
      </w:pPr>
      <w:r>
        <w:lastRenderedPageBreak/>
        <w:t xml:space="preserve">Introduction </w:t>
      </w:r>
    </w:p>
    <w:p w14:paraId="2FBAD9CC" w14:textId="77777777" w:rsidR="005B15D9" w:rsidRDefault="005B15D9" w:rsidP="005B15D9">
      <w:pPr>
        <w:pStyle w:val="text"/>
      </w:pPr>
      <w:r w:rsidRPr="00A154DD">
        <w:t xml:space="preserve">This scheme of work has been updated to </w:t>
      </w:r>
      <w:r>
        <w:t>match Issue 6 of the</w:t>
      </w:r>
      <w:r w:rsidRPr="00A154DD">
        <w:t xml:space="preserve"> specification. Summary guidance on the changes can be found </w:t>
      </w:r>
      <w:hyperlink r:id="rId12" w:history="1">
        <w:r w:rsidRPr="00A154DD">
          <w:rPr>
            <w:rStyle w:val="Hyperlink"/>
          </w:rPr>
          <w:t>here</w:t>
        </w:r>
      </w:hyperlink>
      <w:r w:rsidRPr="00A154DD">
        <w:t>.</w:t>
      </w:r>
    </w:p>
    <w:p w14:paraId="2E42291F" w14:textId="77777777" w:rsidR="005B15D9" w:rsidRDefault="005B15D9" w:rsidP="005B15D9">
      <w:pPr>
        <w:pStyle w:val="text"/>
      </w:pPr>
    </w:p>
    <w:p w14:paraId="3B306513" w14:textId="77777777" w:rsidR="002229E7" w:rsidRPr="00237473" w:rsidRDefault="002229E7" w:rsidP="002229E7">
      <w:pPr>
        <w:pStyle w:val="text"/>
      </w:pPr>
      <w:r w:rsidRPr="00237473">
        <w:t xml:space="preserve">This document provides a sample </w:t>
      </w:r>
      <w:r w:rsidR="008567DD">
        <w:t xml:space="preserve">outline </w:t>
      </w:r>
      <w:r w:rsidRPr="00237473">
        <w:t xml:space="preserve">scheme of work for </w:t>
      </w:r>
      <w:r w:rsidR="00B436B8">
        <w:rPr>
          <w:b/>
        </w:rPr>
        <w:t>Early Elizabethan England, 1558–88</w:t>
      </w:r>
      <w:r w:rsidR="00467C69">
        <w:t>.</w:t>
      </w:r>
      <w:r w:rsidR="004834D6">
        <w:t xml:space="preserve"> </w:t>
      </w:r>
      <w:r w:rsidR="00F91692">
        <w:t xml:space="preserve">This is intended </w:t>
      </w:r>
      <w:r w:rsidR="00F91692" w:rsidRPr="00237473">
        <w:t>as an example approach only and is not prescriptive</w:t>
      </w:r>
      <w:r w:rsidR="00F91692">
        <w:t>: it</w:t>
      </w:r>
      <w:r w:rsidRPr="00237473">
        <w:t xml:space="preserve"> should be adapted by </w:t>
      </w:r>
      <w:r w:rsidR="00F91692">
        <w:t xml:space="preserve">schools </w:t>
      </w:r>
      <w:r w:rsidRPr="00237473">
        <w:t xml:space="preserve">to fit their timetabling and staffing arrangements. </w:t>
      </w:r>
    </w:p>
    <w:p w14:paraId="4AA26970" w14:textId="77777777" w:rsidR="00316446" w:rsidRDefault="002229E7" w:rsidP="002229E7">
      <w:pPr>
        <w:pStyle w:val="text"/>
      </w:pPr>
      <w:r w:rsidRPr="00237473">
        <w:t xml:space="preserve">The scheme assumes </w:t>
      </w:r>
      <w:r w:rsidR="00316446">
        <w:t>1</w:t>
      </w:r>
      <w:r w:rsidR="008567DD">
        <w:t>2</w:t>
      </w:r>
      <w:r w:rsidRPr="00237473">
        <w:t xml:space="preserve"> teaching weeks for </w:t>
      </w:r>
      <w:r w:rsidR="008567DD">
        <w:t xml:space="preserve">the </w:t>
      </w:r>
      <w:r w:rsidR="00882486">
        <w:t>British depth</w:t>
      </w:r>
      <w:r w:rsidR="008567DD">
        <w:t xml:space="preserve"> study</w:t>
      </w:r>
      <w:r w:rsidR="00882486">
        <w:t>.</w:t>
      </w:r>
    </w:p>
    <w:p w14:paraId="53B3B7DE" w14:textId="77777777" w:rsidR="004834D6" w:rsidRDefault="004834D6" w:rsidP="004834D6">
      <w:pPr>
        <w:pStyle w:val="text"/>
      </w:pPr>
      <w:r w:rsidRPr="00316446">
        <w:t xml:space="preserve">The separate </w:t>
      </w:r>
      <w:r w:rsidRPr="00845780">
        <w:rPr>
          <w:b/>
        </w:rPr>
        <w:t>Course planner</w:t>
      </w:r>
      <w:r w:rsidRPr="00316446">
        <w:t xml:space="preserve"> document provides a range of examples of delivery options that can be used for planning alongside this document.</w:t>
      </w:r>
    </w:p>
    <w:p w14:paraId="30A192BF" w14:textId="77777777" w:rsidR="004834D6" w:rsidRPr="00E45736" w:rsidRDefault="004834D6" w:rsidP="004834D6">
      <w:pPr>
        <w:pStyle w:val="text"/>
      </w:pPr>
      <w:r>
        <w:t xml:space="preserve">The separate </w:t>
      </w:r>
      <w:r>
        <w:rPr>
          <w:b/>
        </w:rPr>
        <w:t xml:space="preserve">Topic booklet </w:t>
      </w:r>
      <w:r>
        <w:t>for Option B</w:t>
      </w:r>
      <w:r w:rsidR="00B436B8">
        <w:t>4</w:t>
      </w:r>
      <w:r w:rsidR="004F2463">
        <w:t xml:space="preserve"> </w:t>
      </w:r>
      <w:r>
        <w:t>includes illustrative exemplification of content.</w:t>
      </w:r>
    </w:p>
    <w:p w14:paraId="41876DB9" w14:textId="77777777" w:rsidR="00007504" w:rsidRDefault="00007504" w:rsidP="00007504"/>
    <w:p w14:paraId="03891EDD" w14:textId="77777777" w:rsidR="00CE495F" w:rsidRDefault="00CE495F" w:rsidP="00CE495F">
      <w:pPr>
        <w:pStyle w:val="text"/>
      </w:pPr>
      <w:r>
        <w:t>In adapting this scheme of work, teachers might find it useful to consider the following:</w:t>
      </w:r>
    </w:p>
    <w:p w14:paraId="3E71B0CB" w14:textId="77777777" w:rsidR="00CE495F" w:rsidRDefault="00CE495F" w:rsidP="00CE495F">
      <w:pPr>
        <w:pStyle w:val="textbullets"/>
      </w:pPr>
      <w:r w:rsidRPr="004001B5">
        <w:t>What</w:t>
      </w:r>
      <w:r>
        <w:t>,</w:t>
      </w:r>
      <w:r w:rsidRPr="004001B5">
        <w:t xml:space="preserve"> and how much</w:t>
      </w:r>
      <w:r>
        <w:t>,</w:t>
      </w:r>
      <w:r w:rsidRPr="004001B5">
        <w:t xml:space="preserve"> background and contextual </w:t>
      </w:r>
      <w:r>
        <w:t xml:space="preserve">material </w:t>
      </w:r>
      <w:r w:rsidRPr="004001B5">
        <w:t>needs to be covered as an introduction and overview before starting the main specification content</w:t>
      </w:r>
      <w:r>
        <w:t>.</w:t>
      </w:r>
      <w:r w:rsidR="00882486">
        <w:t xml:space="preserve"> </w:t>
      </w:r>
      <w:r w:rsidR="00882486">
        <w:rPr>
          <w:rFonts w:cs="Verdana"/>
          <w:bCs/>
          <w:szCs w:val="20"/>
        </w:rPr>
        <w:t>This is likely to depend on the school’s KS3 programme of study and the extent to which students have already developed some familiarity with this period</w:t>
      </w:r>
      <w:r w:rsidR="00CA47CD">
        <w:rPr>
          <w:rFonts w:cs="Verdana"/>
          <w:bCs/>
          <w:szCs w:val="20"/>
        </w:rPr>
        <w:t>.</w:t>
      </w:r>
    </w:p>
    <w:p w14:paraId="2A98318A" w14:textId="77777777" w:rsidR="008567DD" w:rsidRDefault="008567DD" w:rsidP="00CE495F">
      <w:pPr>
        <w:pStyle w:val="textbullets"/>
      </w:pPr>
      <w:r>
        <w:t xml:space="preserve">The </w:t>
      </w:r>
      <w:r w:rsidR="007D198F">
        <w:t xml:space="preserve">focus of the </w:t>
      </w:r>
      <w:r>
        <w:t xml:space="preserve">question types in the assessment of the </w:t>
      </w:r>
      <w:r w:rsidR="00112FCC">
        <w:t xml:space="preserve">British depth </w:t>
      </w:r>
      <w:r>
        <w:t xml:space="preserve">study: </w:t>
      </w:r>
    </w:p>
    <w:p w14:paraId="2BB15426" w14:textId="77777777" w:rsidR="008567DD" w:rsidRDefault="00882486" w:rsidP="008567DD">
      <w:pPr>
        <w:pStyle w:val="textbullets"/>
        <w:numPr>
          <w:ilvl w:val="2"/>
          <w:numId w:val="9"/>
        </w:numPr>
      </w:pPr>
      <w:r>
        <w:t xml:space="preserve">Describe </w:t>
      </w:r>
      <w:r w:rsidR="005B15D9" w:rsidRPr="005B15D9">
        <w:rPr>
          <w:b/>
          <w:bCs/>
        </w:rPr>
        <w:t>one</w:t>
      </w:r>
      <w:r>
        <w:t xml:space="preserve"> feature of</w:t>
      </w:r>
      <w:r w:rsidR="008567DD">
        <w:t>...</w:t>
      </w:r>
    </w:p>
    <w:p w14:paraId="4CF6078D" w14:textId="77777777" w:rsidR="00007504" w:rsidRDefault="00882486" w:rsidP="008567DD">
      <w:pPr>
        <w:pStyle w:val="textbullets"/>
        <w:numPr>
          <w:ilvl w:val="2"/>
          <w:numId w:val="9"/>
        </w:numPr>
      </w:pPr>
      <w:r>
        <w:t>Explain why...</w:t>
      </w:r>
    </w:p>
    <w:p w14:paraId="158C8C95" w14:textId="77777777" w:rsidR="008567DD" w:rsidRDefault="00882486" w:rsidP="008567DD">
      <w:pPr>
        <w:pStyle w:val="textbullets"/>
        <w:numPr>
          <w:ilvl w:val="2"/>
          <w:numId w:val="9"/>
        </w:numPr>
      </w:pPr>
      <w:r>
        <w:t xml:space="preserve">‘[statement]’ How far do you agree? Explain your answer. (Any second-order </w:t>
      </w:r>
      <w:r w:rsidR="00CA47CD">
        <w:t>concep</w:t>
      </w:r>
      <w:r>
        <w:t>t)</w:t>
      </w:r>
    </w:p>
    <w:p w14:paraId="4BF9FA3C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</w:pPr>
    </w:p>
    <w:p w14:paraId="50019BEC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  <w:sectPr w:rsidR="00BA3CE0" w:rsidSect="004834D6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p w14:paraId="68C79B8D" w14:textId="77777777" w:rsidR="00007504" w:rsidRPr="0010147D" w:rsidRDefault="00007504" w:rsidP="00007504">
      <w:pPr>
        <w:pStyle w:val="text"/>
      </w:pP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242"/>
        <w:gridCol w:w="13262"/>
      </w:tblGrid>
      <w:tr w:rsidR="00D23B61" w:rsidRPr="004C7F7D" w14:paraId="2DD66D3F" w14:textId="77777777" w:rsidTr="00D23B61">
        <w:trPr>
          <w:cantSplit/>
          <w:trHeight w:val="214"/>
          <w:tblHeader/>
        </w:trPr>
        <w:tc>
          <w:tcPr>
            <w:tcW w:w="428" w:type="pct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999999"/>
          </w:tcPr>
          <w:p w14:paraId="4CA762DD" w14:textId="77777777" w:rsidR="00D23B61" w:rsidRPr="00F532F8" w:rsidRDefault="00D23B61" w:rsidP="00D23B61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Week</w:t>
            </w:r>
          </w:p>
        </w:tc>
        <w:tc>
          <w:tcPr>
            <w:tcW w:w="457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999999"/>
          </w:tcPr>
          <w:p w14:paraId="4C888EAD" w14:textId="77777777" w:rsidR="00D23B61" w:rsidRDefault="00D23B61" w:rsidP="00D23B61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D23B61" w:rsidRPr="002B4ED0" w14:paraId="796AF7A4" w14:textId="77777777" w:rsidTr="00D23B61">
        <w:trPr>
          <w:cantSplit/>
          <w:trHeight w:val="400"/>
        </w:trPr>
        <w:tc>
          <w:tcPr>
            <w:tcW w:w="428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629E108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1</w:t>
            </w:r>
          </w:p>
        </w:tc>
        <w:tc>
          <w:tcPr>
            <w:tcW w:w="457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5FAAACE5" w14:textId="77777777" w:rsidR="00D23B61" w:rsidRDefault="00D23B61" w:rsidP="00EB0FFC">
            <w:pPr>
              <w:pStyle w:val="Tabletextbullets"/>
            </w:pPr>
            <w:r>
              <w:t>Introduction and overview of option</w:t>
            </w:r>
          </w:p>
          <w:p w14:paraId="31B7C7DA" w14:textId="77777777" w:rsidR="00D23B61" w:rsidRPr="00D57ECF" w:rsidRDefault="00D23B61" w:rsidP="00EB0FFC">
            <w:pPr>
              <w:pStyle w:val="textbullets"/>
              <w:numPr>
                <w:ilvl w:val="0"/>
                <w:numId w:val="0"/>
              </w:numPr>
              <w:rPr>
                <w:rFonts w:cs="Arial"/>
              </w:rPr>
            </w:pPr>
          </w:p>
          <w:p w14:paraId="727AB6EE" w14:textId="77777777" w:rsidR="00D23B61" w:rsidRPr="00A07B51" w:rsidRDefault="00D23B61" w:rsidP="00EB0FFC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>Key topic 1.1 The situation on Elizabeth's accession</w:t>
            </w:r>
          </w:p>
          <w:p w14:paraId="68C8C643" w14:textId="77777777" w:rsidR="00D23B61" w:rsidRPr="00D51DBB" w:rsidRDefault="00D23B61" w:rsidP="00EB0FFC">
            <w:pPr>
              <w:pStyle w:val="Tabletextbullets"/>
            </w:pPr>
            <w:r w:rsidRPr="00CA3433">
              <w:t>Elizabethan England in 1558: society and government.</w:t>
            </w:r>
          </w:p>
        </w:tc>
      </w:tr>
      <w:tr w:rsidR="00D23B61" w:rsidRPr="002B4ED0" w14:paraId="368BE088" w14:textId="77777777" w:rsidTr="00D23B61">
        <w:trPr>
          <w:cantSplit/>
          <w:trHeight w:val="77"/>
        </w:trPr>
        <w:tc>
          <w:tcPr>
            <w:tcW w:w="428" w:type="pct"/>
            <w:tcBorders>
              <w:top w:val="single" w:sz="4" w:space="0" w:color="999999"/>
            </w:tcBorders>
            <w:shd w:val="clear" w:color="auto" w:fill="auto"/>
          </w:tcPr>
          <w:p w14:paraId="17AB3FB9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2</w:t>
            </w:r>
          </w:p>
        </w:tc>
        <w:tc>
          <w:tcPr>
            <w:tcW w:w="4572" w:type="pct"/>
            <w:tcBorders>
              <w:top w:val="single" w:sz="4" w:space="0" w:color="999999"/>
            </w:tcBorders>
          </w:tcPr>
          <w:p w14:paraId="1FB85A7A" w14:textId="77777777" w:rsidR="00D23B61" w:rsidRPr="00CA3433" w:rsidRDefault="00D23B61" w:rsidP="00EB0FFC">
            <w:pPr>
              <w:pStyle w:val="Tabletextbullets"/>
            </w:pPr>
            <w:r w:rsidRPr="00CA3433">
              <w:t>The Virgin Queen: the problem of her legitimacy, gender, marriage. Her character and strengths.</w:t>
            </w:r>
          </w:p>
          <w:p w14:paraId="7E73AB9F" w14:textId="77777777" w:rsidR="00D23B61" w:rsidRPr="002541E7" w:rsidRDefault="00D23B61" w:rsidP="00EB0FFC">
            <w:pPr>
              <w:pStyle w:val="Tabletextbullets"/>
            </w:pPr>
            <w:r w:rsidRPr="00E768E9">
              <w:t>Challenges</w:t>
            </w:r>
            <w:r w:rsidRPr="00CA3433">
              <w:t xml:space="preserve"> at home and from abroad: financial weaknesses</w:t>
            </w:r>
            <w:r>
              <w:t>, religious divisions,</w:t>
            </w:r>
            <w:r w:rsidRPr="00CA3433">
              <w:t xml:space="preserve"> the French threat.</w:t>
            </w:r>
          </w:p>
        </w:tc>
      </w:tr>
      <w:tr w:rsidR="00D23B61" w:rsidRPr="002B4ED0" w14:paraId="7297D40E" w14:textId="77777777" w:rsidTr="00D23B61">
        <w:trPr>
          <w:cantSplit/>
          <w:trHeight w:val="400"/>
        </w:trPr>
        <w:tc>
          <w:tcPr>
            <w:tcW w:w="428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F319F4B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3</w:t>
            </w:r>
          </w:p>
        </w:tc>
        <w:tc>
          <w:tcPr>
            <w:tcW w:w="4572" w:type="pct"/>
            <w:tcBorders>
              <w:top w:val="single" w:sz="4" w:space="0" w:color="999999"/>
              <w:bottom w:val="single" w:sz="4" w:space="0" w:color="999999"/>
            </w:tcBorders>
          </w:tcPr>
          <w:p w14:paraId="1DB8CA94" w14:textId="77777777" w:rsidR="00D23B61" w:rsidRPr="00A07B51" w:rsidRDefault="00D23B61" w:rsidP="00EB0FFC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>Key topic 1.2 The ‘settlement’ of religion</w:t>
            </w:r>
          </w:p>
          <w:p w14:paraId="55404A6F" w14:textId="77777777" w:rsidR="00D23B61" w:rsidRPr="00CA3433" w:rsidRDefault="00D23B61" w:rsidP="00EB0FFC">
            <w:pPr>
              <w:pStyle w:val="Tabletextbullets"/>
            </w:pPr>
            <w:r w:rsidRPr="00CA3433">
              <w:t>Elizabeth’s religious Settlement (1559): its features and impact.</w:t>
            </w:r>
          </w:p>
          <w:p w14:paraId="1E7466C8" w14:textId="77777777" w:rsidR="00D23B61" w:rsidRPr="002541E7" w:rsidRDefault="00D23B61" w:rsidP="00EB0FFC">
            <w:pPr>
              <w:pStyle w:val="Tabletextbullets"/>
            </w:pPr>
            <w:r w:rsidRPr="00CA3433">
              <w:t>The Church of England: its role in society</w:t>
            </w:r>
            <w:r>
              <w:t>.</w:t>
            </w:r>
          </w:p>
        </w:tc>
      </w:tr>
      <w:tr w:rsidR="00D23B61" w:rsidRPr="002B4ED0" w14:paraId="5FD6AC1C" w14:textId="77777777" w:rsidTr="00D23B61">
        <w:trPr>
          <w:cantSplit/>
          <w:trHeight w:val="400"/>
        </w:trPr>
        <w:tc>
          <w:tcPr>
            <w:tcW w:w="428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5AF0F47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4</w:t>
            </w:r>
          </w:p>
        </w:tc>
        <w:tc>
          <w:tcPr>
            <w:tcW w:w="4572" w:type="pct"/>
            <w:tcBorders>
              <w:top w:val="single" w:sz="4" w:space="0" w:color="999999"/>
              <w:bottom w:val="single" w:sz="4" w:space="0" w:color="999999"/>
            </w:tcBorders>
          </w:tcPr>
          <w:p w14:paraId="67E9E9BD" w14:textId="77777777" w:rsidR="00D23B61" w:rsidRPr="00D57ECF" w:rsidRDefault="00D23B61" w:rsidP="00EB0FFC">
            <w:pPr>
              <w:pStyle w:val="textbullets"/>
              <w:numPr>
                <w:ilvl w:val="0"/>
                <w:numId w:val="0"/>
              </w:numPr>
              <w:ind w:left="360" w:hanging="360"/>
              <w:rPr>
                <w:rFonts w:cs="Arial"/>
                <w:b/>
              </w:rPr>
            </w:pPr>
            <w:r w:rsidRPr="00D57ECF">
              <w:rPr>
                <w:rFonts w:cs="Arial"/>
                <w:b/>
              </w:rPr>
              <w:t>Key topic 1.3 Challenge to the religious settlement</w:t>
            </w:r>
          </w:p>
          <w:p w14:paraId="13B8D46D" w14:textId="77777777" w:rsidR="00D23B61" w:rsidRDefault="00D23B61" w:rsidP="00EB0FFC">
            <w:pPr>
              <w:pStyle w:val="Tabletextbullets"/>
            </w:pPr>
            <w:r>
              <w:t>The nature and extent of the Puritan challenge.</w:t>
            </w:r>
          </w:p>
          <w:p w14:paraId="34BA0821" w14:textId="77777777" w:rsidR="00D23B61" w:rsidRPr="002541E7" w:rsidRDefault="00D23B61" w:rsidP="00EB0FFC">
            <w:pPr>
              <w:pStyle w:val="Tabletextbullets"/>
            </w:pPr>
            <w:r>
              <w:t>The nature and extent of the Catholic challenge, including the role of the nobility, Papacy and foreign powers.</w:t>
            </w:r>
          </w:p>
        </w:tc>
      </w:tr>
      <w:tr w:rsidR="00D23B61" w:rsidRPr="002B4ED0" w14:paraId="302334E8" w14:textId="77777777" w:rsidTr="00D23B61">
        <w:trPr>
          <w:cantSplit/>
          <w:trHeight w:val="810"/>
        </w:trPr>
        <w:tc>
          <w:tcPr>
            <w:tcW w:w="428" w:type="pct"/>
            <w:tcBorders>
              <w:top w:val="single" w:sz="4" w:space="0" w:color="999999"/>
            </w:tcBorders>
            <w:shd w:val="clear" w:color="auto" w:fill="auto"/>
          </w:tcPr>
          <w:p w14:paraId="49958B02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5</w:t>
            </w:r>
          </w:p>
        </w:tc>
        <w:tc>
          <w:tcPr>
            <w:tcW w:w="4572" w:type="pct"/>
            <w:tcBorders>
              <w:top w:val="single" w:sz="4" w:space="0" w:color="999999"/>
            </w:tcBorders>
          </w:tcPr>
          <w:p w14:paraId="0902A798" w14:textId="77777777" w:rsidR="00D23B61" w:rsidRPr="00A07B51" w:rsidRDefault="00D23B61" w:rsidP="00EB0FFC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>Key topic 1.4 The problem of Mary, Queen of Scots</w:t>
            </w:r>
          </w:p>
          <w:p w14:paraId="45E419DB" w14:textId="77777777" w:rsidR="00D23B61" w:rsidRDefault="00D23B61" w:rsidP="00EB0FFC">
            <w:pPr>
              <w:pStyle w:val="Tabletextbullets"/>
            </w:pPr>
            <w:r>
              <w:t xml:space="preserve">Mary, Queen of Scots: her claim to the English throne. </w:t>
            </w:r>
          </w:p>
          <w:p w14:paraId="5AC0C3C5" w14:textId="77777777" w:rsidR="00D23B61" w:rsidRPr="002541E7" w:rsidRDefault="00D23B61" w:rsidP="00EB0FFC">
            <w:pPr>
              <w:pStyle w:val="Tabletextbullets"/>
            </w:pPr>
            <w:r>
              <w:t xml:space="preserve">Relations between Elizabeth and Mary, 1568–69. </w:t>
            </w:r>
          </w:p>
        </w:tc>
      </w:tr>
      <w:tr w:rsidR="00D23B61" w:rsidRPr="002B4ED0" w14:paraId="049C7929" w14:textId="77777777" w:rsidTr="00D23B61">
        <w:trPr>
          <w:cantSplit/>
          <w:trHeight w:val="400"/>
        </w:trPr>
        <w:tc>
          <w:tcPr>
            <w:tcW w:w="428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1B1880A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6</w:t>
            </w:r>
          </w:p>
        </w:tc>
        <w:tc>
          <w:tcPr>
            <w:tcW w:w="457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22BCC6B8" w14:textId="77777777" w:rsidR="00D23B61" w:rsidRPr="00A07B51" w:rsidRDefault="00D23B61" w:rsidP="00EB0FFC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>Key topic 2.1 Plots and revolts at home</w:t>
            </w:r>
          </w:p>
          <w:p w14:paraId="3F204794" w14:textId="77777777" w:rsidR="00D23B61" w:rsidRDefault="00D23B61" w:rsidP="00EB0FFC">
            <w:pPr>
              <w:pStyle w:val="Tabletextbullets"/>
            </w:pPr>
            <w:r>
              <w:t>The reasons for, and significance of, the Revolt of the Northern Earls, 1569–70.</w:t>
            </w:r>
          </w:p>
          <w:p w14:paraId="5466BE39" w14:textId="77777777" w:rsidR="00D23B61" w:rsidRPr="00273C14" w:rsidRDefault="00D23B61" w:rsidP="00EB0FFC">
            <w:pPr>
              <w:pStyle w:val="Tabletextbullets"/>
            </w:pPr>
            <w:r>
              <w:t>The features and significance of the Ridolfi, Throckmorton and Babington Plots. Walsingham and the use of spies.</w:t>
            </w:r>
          </w:p>
        </w:tc>
      </w:tr>
      <w:tr w:rsidR="00D23B61" w:rsidRPr="002B4ED0" w14:paraId="531B0525" w14:textId="77777777" w:rsidTr="00D23B61">
        <w:trPr>
          <w:cantSplit/>
          <w:trHeight w:val="400"/>
        </w:trPr>
        <w:tc>
          <w:tcPr>
            <w:tcW w:w="428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1E0D551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7</w:t>
            </w:r>
          </w:p>
        </w:tc>
        <w:tc>
          <w:tcPr>
            <w:tcW w:w="4572" w:type="pct"/>
            <w:tcBorders>
              <w:top w:val="single" w:sz="4" w:space="0" w:color="999999"/>
              <w:bottom w:val="single" w:sz="4" w:space="0" w:color="999999"/>
            </w:tcBorders>
          </w:tcPr>
          <w:p w14:paraId="2964397A" w14:textId="77777777" w:rsidR="00D23B61" w:rsidRDefault="00D23B61" w:rsidP="00EB0FFC">
            <w:pPr>
              <w:pStyle w:val="Tabletextbullets"/>
              <w:rPr>
                <w:b/>
              </w:rPr>
            </w:pPr>
            <w:r w:rsidRPr="00CA3433">
              <w:t>The reasons for, and significance of, Mary Queen of Scots’ execution in 1587.</w:t>
            </w:r>
          </w:p>
          <w:p w14:paraId="04FDC7E1" w14:textId="77777777" w:rsidR="00D23B61" w:rsidRDefault="00D23B61" w:rsidP="00EB0FFC">
            <w:pPr>
              <w:pStyle w:val="Tabletext"/>
              <w:rPr>
                <w:b/>
              </w:rPr>
            </w:pPr>
          </w:p>
          <w:p w14:paraId="16E9C2F4" w14:textId="77777777" w:rsidR="00D23B61" w:rsidRPr="00A07B51" w:rsidRDefault="00D23B61" w:rsidP="00EB0FFC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>Key topic 2.2 Relations with Spain</w:t>
            </w:r>
          </w:p>
          <w:p w14:paraId="20E8D7AB" w14:textId="77777777" w:rsidR="00D23B61" w:rsidRDefault="00D23B61" w:rsidP="00EB0FFC">
            <w:pPr>
              <w:pStyle w:val="Tabletextbullets"/>
            </w:pPr>
            <w:r>
              <w:t>Political, religious and commercial rivalry.</w:t>
            </w:r>
          </w:p>
          <w:p w14:paraId="1FA68A79" w14:textId="77777777" w:rsidR="00D23B61" w:rsidRPr="002541E7" w:rsidRDefault="00D23B61" w:rsidP="00EB0FFC">
            <w:pPr>
              <w:pStyle w:val="Tabletextbullets"/>
            </w:pPr>
            <w:r>
              <w:t xml:space="preserve">The significance of privateering and the activities of Drake. </w:t>
            </w:r>
          </w:p>
        </w:tc>
      </w:tr>
      <w:tr w:rsidR="00D23B61" w:rsidRPr="002B4ED0" w14:paraId="53C54E3C" w14:textId="77777777" w:rsidTr="00D23B61">
        <w:trPr>
          <w:cantSplit/>
          <w:trHeight w:val="77"/>
        </w:trPr>
        <w:tc>
          <w:tcPr>
            <w:tcW w:w="428" w:type="pct"/>
            <w:tcBorders>
              <w:top w:val="single" w:sz="4" w:space="0" w:color="999999"/>
            </w:tcBorders>
            <w:shd w:val="clear" w:color="auto" w:fill="auto"/>
          </w:tcPr>
          <w:p w14:paraId="4EA13754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lastRenderedPageBreak/>
              <w:t>8</w:t>
            </w:r>
          </w:p>
        </w:tc>
        <w:tc>
          <w:tcPr>
            <w:tcW w:w="4572" w:type="pct"/>
            <w:tcBorders>
              <w:top w:val="single" w:sz="4" w:space="0" w:color="999999"/>
            </w:tcBorders>
          </w:tcPr>
          <w:p w14:paraId="19D47805" w14:textId="77777777" w:rsidR="00D23B61" w:rsidRPr="00A07B51" w:rsidRDefault="00D23B61" w:rsidP="00EB0FFC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>Key topic 2.3 The outbreak of war with Spain</w:t>
            </w:r>
            <w:r>
              <w:rPr>
                <w:b/>
              </w:rPr>
              <w:t>, 1585–88</w:t>
            </w:r>
          </w:p>
          <w:p w14:paraId="070D1DE1" w14:textId="77777777" w:rsidR="00D23B61" w:rsidRDefault="00D23B61" w:rsidP="00EB0FFC">
            <w:pPr>
              <w:pStyle w:val="Tabletextbullets"/>
            </w:pPr>
            <w:r>
              <w:t>Reasons for deteriorating relations with Spain: English direct involvement in the Netherlands and the actions of Robert Dudley.</w:t>
            </w:r>
          </w:p>
          <w:p w14:paraId="1D3FEDD9" w14:textId="77777777" w:rsidR="00D23B61" w:rsidRDefault="00D23B61" w:rsidP="00EB0FFC">
            <w:pPr>
              <w:pStyle w:val="Tabletextbullets"/>
            </w:pPr>
            <w:r>
              <w:t>Drake and the raid on Cadiz: ‘Singeing the King of Spain’s beard’.</w:t>
            </w:r>
          </w:p>
          <w:p w14:paraId="38945EA5" w14:textId="77777777" w:rsidR="00D23B61" w:rsidRDefault="00D23B61" w:rsidP="00EB0FFC">
            <w:pPr>
              <w:pStyle w:val="Tabletextbullets"/>
              <w:numPr>
                <w:ilvl w:val="0"/>
                <w:numId w:val="0"/>
              </w:numPr>
              <w:ind w:left="397" w:hanging="397"/>
            </w:pPr>
          </w:p>
          <w:p w14:paraId="2EFFBE5A" w14:textId="77777777" w:rsidR="00D23B61" w:rsidRPr="00A07B51" w:rsidRDefault="00D23B61" w:rsidP="00EB0FFC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>Key topic 2.4 The Armada</w:t>
            </w:r>
          </w:p>
          <w:p w14:paraId="24365771" w14:textId="77777777" w:rsidR="00D23B61" w:rsidRPr="002314CE" w:rsidRDefault="00D23B61" w:rsidP="00EB0FFC">
            <w:pPr>
              <w:pStyle w:val="Tabletextbullets"/>
            </w:pPr>
            <w:r>
              <w:t xml:space="preserve">Spanish invasion plans. Key events of the Spanish Armada. </w:t>
            </w:r>
          </w:p>
        </w:tc>
      </w:tr>
      <w:tr w:rsidR="00D23B61" w:rsidRPr="002B4ED0" w14:paraId="38CF5844" w14:textId="77777777" w:rsidTr="00D23B61">
        <w:trPr>
          <w:cantSplit/>
          <w:trHeight w:val="400"/>
        </w:trPr>
        <w:tc>
          <w:tcPr>
            <w:tcW w:w="428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35738E0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9</w:t>
            </w:r>
          </w:p>
        </w:tc>
        <w:tc>
          <w:tcPr>
            <w:tcW w:w="4572" w:type="pct"/>
            <w:tcBorders>
              <w:top w:val="single" w:sz="4" w:space="0" w:color="999999"/>
              <w:bottom w:val="single" w:sz="4" w:space="0" w:color="999999"/>
            </w:tcBorders>
          </w:tcPr>
          <w:p w14:paraId="542DC47D" w14:textId="77777777" w:rsidR="00D23B61" w:rsidRPr="00273C14" w:rsidRDefault="00D23B61" w:rsidP="00EB0FFC">
            <w:pPr>
              <w:pStyle w:val="Tabletextbullets"/>
              <w:rPr>
                <w:b/>
              </w:rPr>
            </w:pPr>
            <w:r>
              <w:t>The reasons for the English victory.</w:t>
            </w:r>
          </w:p>
          <w:p w14:paraId="7AD7C473" w14:textId="77777777" w:rsidR="00D23B61" w:rsidRDefault="00D23B61" w:rsidP="00EB0FF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</w:p>
          <w:p w14:paraId="42987633" w14:textId="77777777" w:rsidR="00D23B61" w:rsidRPr="00D57ECF" w:rsidRDefault="00D23B61" w:rsidP="00EB0FFC">
            <w:pPr>
              <w:pStyle w:val="textbullets"/>
              <w:numPr>
                <w:ilvl w:val="0"/>
                <w:numId w:val="0"/>
              </w:numPr>
              <w:ind w:left="360" w:hanging="360"/>
              <w:rPr>
                <w:rFonts w:cs="Arial"/>
                <w:b/>
              </w:rPr>
            </w:pPr>
            <w:r w:rsidRPr="00D57ECF">
              <w:rPr>
                <w:rFonts w:cs="Arial"/>
                <w:b/>
              </w:rPr>
              <w:t>Key topic 3.1 Education and leisure</w:t>
            </w:r>
          </w:p>
          <w:p w14:paraId="6DFB5745" w14:textId="77777777" w:rsidR="00D23B61" w:rsidRDefault="00D23B61" w:rsidP="00EB0FFC">
            <w:pPr>
              <w:pStyle w:val="Tabletextbullets"/>
            </w:pPr>
            <w:r>
              <w:t xml:space="preserve">Education in the home and schools. </w:t>
            </w:r>
          </w:p>
          <w:p w14:paraId="5E4FDC9D" w14:textId="77777777" w:rsidR="00D23B61" w:rsidRPr="002541E7" w:rsidRDefault="00D23B61" w:rsidP="00EB0FFC">
            <w:pPr>
              <w:pStyle w:val="Tabletextbullets"/>
            </w:pPr>
            <w:r>
              <w:t>Sport, pastimes and the theatre.</w:t>
            </w:r>
          </w:p>
        </w:tc>
      </w:tr>
      <w:tr w:rsidR="00D23B61" w:rsidRPr="002B4ED0" w14:paraId="624F8E91" w14:textId="77777777" w:rsidTr="00D23B61">
        <w:trPr>
          <w:cantSplit/>
          <w:trHeight w:val="400"/>
        </w:trPr>
        <w:tc>
          <w:tcPr>
            <w:tcW w:w="428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579EB65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10</w:t>
            </w:r>
          </w:p>
        </w:tc>
        <w:tc>
          <w:tcPr>
            <w:tcW w:w="4572" w:type="pct"/>
            <w:tcBorders>
              <w:top w:val="single" w:sz="4" w:space="0" w:color="999999"/>
              <w:bottom w:val="single" w:sz="4" w:space="0" w:color="999999"/>
            </w:tcBorders>
          </w:tcPr>
          <w:p w14:paraId="31482821" w14:textId="77777777" w:rsidR="00D23B61" w:rsidRPr="00F93925" w:rsidRDefault="00D23B61" w:rsidP="00EB0FFC">
            <w:pPr>
              <w:pStyle w:val="Tabletext"/>
            </w:pPr>
            <w:r w:rsidRPr="00A07B51">
              <w:rPr>
                <w:b/>
              </w:rPr>
              <w:t xml:space="preserve">Key topic 3.2 The </w:t>
            </w:r>
            <w:r>
              <w:rPr>
                <w:b/>
              </w:rPr>
              <w:t>‘</w:t>
            </w:r>
            <w:r w:rsidRPr="00A07B51">
              <w:rPr>
                <w:b/>
              </w:rPr>
              <w:t>problem</w:t>
            </w:r>
            <w:r>
              <w:rPr>
                <w:b/>
              </w:rPr>
              <w:t>’</w:t>
            </w:r>
            <w:r w:rsidRPr="00A07B51">
              <w:rPr>
                <w:b/>
              </w:rPr>
              <w:t xml:space="preserve"> of the poo</w:t>
            </w:r>
            <w:r>
              <w:t>r</w:t>
            </w:r>
          </w:p>
          <w:p w14:paraId="38385ACC" w14:textId="77777777" w:rsidR="00D23B61" w:rsidRDefault="00D23B61" w:rsidP="00EB0FFC">
            <w:pPr>
              <w:pStyle w:val="Tabletextbullets"/>
            </w:pPr>
            <w:r>
              <w:t xml:space="preserve">The reasons for the increase in poverty and vagabondage during these years. </w:t>
            </w:r>
          </w:p>
          <w:p w14:paraId="650011A9" w14:textId="77777777" w:rsidR="00D23B61" w:rsidRDefault="00D23B61" w:rsidP="00EB0FFC">
            <w:pPr>
              <w:pStyle w:val="Tabletextbullets"/>
            </w:pPr>
            <w:r>
              <w:t>The changing attitudes and policies towards the poor.</w:t>
            </w:r>
          </w:p>
          <w:p w14:paraId="4EB25A28" w14:textId="77777777" w:rsidR="00D23B61" w:rsidRDefault="00D23B61" w:rsidP="00EB0FFC">
            <w:pPr>
              <w:pStyle w:val="Tabletext"/>
              <w:rPr>
                <w:b/>
              </w:rPr>
            </w:pPr>
          </w:p>
          <w:p w14:paraId="2B39A19A" w14:textId="77777777" w:rsidR="00D23B61" w:rsidRPr="00A07B51" w:rsidRDefault="00D23B61" w:rsidP="00EB0FFC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>Key topic 3.3 Exploration and voyages of discovery</w:t>
            </w:r>
          </w:p>
          <w:p w14:paraId="5CF94817" w14:textId="77777777" w:rsidR="00D23B61" w:rsidRPr="002541E7" w:rsidRDefault="00D23B61" w:rsidP="00EB0FFC">
            <w:pPr>
              <w:pStyle w:val="Tabletextbullets"/>
            </w:pPr>
            <w:r>
              <w:t xml:space="preserve">Factors prompting exploration, including the impact of new technology on ships and sailing and the drive to expand trade. </w:t>
            </w:r>
          </w:p>
        </w:tc>
      </w:tr>
      <w:tr w:rsidR="00D23B61" w:rsidRPr="002B4ED0" w14:paraId="2E24527B" w14:textId="77777777" w:rsidTr="00D23B61">
        <w:trPr>
          <w:cantSplit/>
          <w:trHeight w:val="562"/>
        </w:trPr>
        <w:tc>
          <w:tcPr>
            <w:tcW w:w="428" w:type="pct"/>
            <w:tcBorders>
              <w:top w:val="single" w:sz="4" w:space="0" w:color="999999"/>
            </w:tcBorders>
            <w:shd w:val="clear" w:color="auto" w:fill="auto"/>
          </w:tcPr>
          <w:p w14:paraId="211D4651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11</w:t>
            </w:r>
          </w:p>
        </w:tc>
        <w:tc>
          <w:tcPr>
            <w:tcW w:w="4572" w:type="pct"/>
            <w:tcBorders>
              <w:top w:val="single" w:sz="4" w:space="0" w:color="999999"/>
            </w:tcBorders>
          </w:tcPr>
          <w:p w14:paraId="7B1F4BA4" w14:textId="77777777" w:rsidR="00D23B61" w:rsidRPr="00FD17B5" w:rsidRDefault="00D23B61" w:rsidP="00EB0FFC">
            <w:pPr>
              <w:pStyle w:val="Tabletextbullets"/>
              <w:rPr>
                <w:b/>
              </w:rPr>
            </w:pPr>
            <w:r>
              <w:t>The reasons for and significance of Drake’s circumnavigation of the globe.</w:t>
            </w:r>
          </w:p>
          <w:p w14:paraId="7AA5D7F2" w14:textId="77777777" w:rsidR="00D23B61" w:rsidRDefault="00D23B61" w:rsidP="00EB0FF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</w:p>
          <w:p w14:paraId="475A6B68" w14:textId="77777777" w:rsidR="00D23B61" w:rsidRPr="00D57ECF" w:rsidRDefault="00D23B61" w:rsidP="00EB0FFC">
            <w:pPr>
              <w:pStyle w:val="textbullets"/>
              <w:numPr>
                <w:ilvl w:val="0"/>
                <w:numId w:val="0"/>
              </w:numPr>
              <w:ind w:left="360" w:hanging="360"/>
              <w:rPr>
                <w:rFonts w:cs="Arial"/>
                <w:b/>
              </w:rPr>
            </w:pPr>
            <w:r w:rsidRPr="00D57ECF">
              <w:rPr>
                <w:rFonts w:cs="Arial"/>
                <w:b/>
              </w:rPr>
              <w:t xml:space="preserve">Key topic 3.4 </w:t>
            </w:r>
            <w:r>
              <w:rPr>
                <w:rFonts w:cs="Arial"/>
                <w:b/>
              </w:rPr>
              <w:t>Attempted colonisation of</w:t>
            </w:r>
            <w:r w:rsidRPr="00D57ECF">
              <w:rPr>
                <w:rFonts w:cs="Arial"/>
                <w:b/>
              </w:rPr>
              <w:t xml:space="preserve"> Virginia</w:t>
            </w:r>
          </w:p>
          <w:p w14:paraId="72D73E6F" w14:textId="77777777" w:rsidR="00D23B61" w:rsidRDefault="00D23B61" w:rsidP="00EB0FFC">
            <w:pPr>
              <w:pStyle w:val="Tabletextbullets"/>
            </w:pPr>
            <w:r>
              <w:t xml:space="preserve">Reasons for the attempted colonisation of Virginia, including the significance of Raleigh. </w:t>
            </w:r>
          </w:p>
          <w:p w14:paraId="4683175E" w14:textId="77777777" w:rsidR="00D23B61" w:rsidRPr="002541E7" w:rsidRDefault="00D23B61" w:rsidP="00EB0FFC">
            <w:pPr>
              <w:pStyle w:val="Tabletextbullets"/>
            </w:pPr>
            <w:r>
              <w:t xml:space="preserve">Reasons for the failure of the first settlement in Virginia. </w:t>
            </w:r>
          </w:p>
        </w:tc>
      </w:tr>
      <w:tr w:rsidR="00D23B61" w:rsidRPr="002B4ED0" w14:paraId="0BCEAED2" w14:textId="77777777" w:rsidTr="00D23B61">
        <w:trPr>
          <w:cantSplit/>
          <w:trHeight w:val="400"/>
        </w:trPr>
        <w:tc>
          <w:tcPr>
            <w:tcW w:w="428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27D10A6" w14:textId="77777777" w:rsidR="00D23B61" w:rsidRPr="00D57ECF" w:rsidRDefault="00D23B61" w:rsidP="00D23B61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 w:rsidRPr="00D57ECF">
              <w:rPr>
                <w:rFonts w:cs="Arial"/>
                <w:szCs w:val="18"/>
              </w:rPr>
              <w:t>12</w:t>
            </w:r>
          </w:p>
        </w:tc>
        <w:tc>
          <w:tcPr>
            <w:tcW w:w="457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52F49395" w14:textId="77777777" w:rsidR="00D23B61" w:rsidRPr="00C819DE" w:rsidRDefault="00D23B61" w:rsidP="00EB0FFC">
            <w:pPr>
              <w:pStyle w:val="Tabletextbullets"/>
              <w:rPr>
                <w:i/>
              </w:rPr>
            </w:pPr>
            <w:r w:rsidRPr="00C819DE">
              <w:rPr>
                <w:i/>
              </w:rPr>
              <w:t>Review and assessment of Early Elizabethan England</w:t>
            </w:r>
            <w:r>
              <w:rPr>
                <w:i/>
              </w:rPr>
              <w:t>,</w:t>
            </w:r>
            <w:r w:rsidRPr="00C819DE">
              <w:rPr>
                <w:i/>
              </w:rPr>
              <w:t xml:space="preserve"> 1558-88</w:t>
            </w:r>
          </w:p>
        </w:tc>
      </w:tr>
    </w:tbl>
    <w:p w14:paraId="13157327" w14:textId="77777777" w:rsidR="004F15B2" w:rsidRDefault="004F15B2" w:rsidP="00A07B51">
      <w:pPr>
        <w:pStyle w:val="text"/>
        <w:ind w:left="0"/>
      </w:pPr>
    </w:p>
    <w:sectPr w:rsidR="004F15B2" w:rsidSect="00316446">
      <w:headerReference w:type="even" r:id="rId17"/>
      <w:headerReference w:type="default" r:id="rId18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164A5" w14:textId="77777777" w:rsidR="007C79F9" w:rsidRDefault="007C79F9">
      <w:r>
        <w:separator/>
      </w:r>
    </w:p>
  </w:endnote>
  <w:endnote w:type="continuationSeparator" w:id="0">
    <w:p w14:paraId="5B38BFAC" w14:textId="77777777" w:rsidR="007C79F9" w:rsidRDefault="007C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A80A6" w14:textId="77777777" w:rsidR="00F346DF" w:rsidRDefault="005035E2">
    <w:pPr>
      <w:pStyle w:val="Footer"/>
    </w:pPr>
    <w:r>
      <w:rPr>
        <w:noProof/>
        <w:lang w:eastAsia="en-GB"/>
      </w:rPr>
      <w:pict w14:anchorId="178C76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251658240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5B5F" w14:textId="77777777" w:rsidR="00F346DF" w:rsidRDefault="005035E2" w:rsidP="00AD16DA">
    <w:r>
      <w:rPr>
        <w:noProof/>
        <w:lang w:eastAsia="en-GB"/>
      </w:rPr>
      <w:pict w14:anchorId="5CD64E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51657216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559E" w14:textId="77777777" w:rsidR="006E290C" w:rsidRDefault="00D368EB" w:rsidP="006E290C">
    <w:pPr>
      <w:pStyle w:val="Footer"/>
    </w:pPr>
    <w:r>
      <w:t>Issue 2 © Pearson Education Ltd 202</w:t>
    </w:r>
    <w:r w:rsidR="008C0BBD">
      <w:t>1</w:t>
    </w:r>
  </w:p>
  <w:p w14:paraId="3E76744D" w14:textId="77777777" w:rsidR="006E290C" w:rsidRDefault="006E290C" w:rsidP="006E290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682B">
      <w:rPr>
        <w:noProof/>
      </w:rPr>
      <w:t>4</w:t>
    </w:r>
    <w:r>
      <w:fldChar w:fldCharType="end"/>
    </w:r>
  </w:p>
  <w:p w14:paraId="61588902" w14:textId="77777777" w:rsidR="00F346DF" w:rsidRDefault="00F346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25D6F" w14:textId="77777777" w:rsidR="006E290C" w:rsidRDefault="00C90B28" w:rsidP="006E290C">
    <w:pPr>
      <w:pStyle w:val="Footer"/>
    </w:pPr>
    <w:r>
      <w:t xml:space="preserve">Issue </w:t>
    </w:r>
    <w:r w:rsidR="005B15D9">
      <w:t>3</w:t>
    </w:r>
    <w:r>
      <w:t xml:space="preserve"> © Pearson Education Ltd 202</w:t>
    </w:r>
    <w:r w:rsidR="005B15D9">
      <w:t>4</w:t>
    </w:r>
  </w:p>
  <w:p w14:paraId="4C3765E8" w14:textId="77777777" w:rsidR="006E290C" w:rsidRDefault="006E290C" w:rsidP="006E290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682B">
      <w:rPr>
        <w:noProof/>
      </w:rPr>
      <w:t>1</w:t>
    </w:r>
    <w:r>
      <w:fldChar w:fldCharType="end"/>
    </w:r>
  </w:p>
  <w:p w14:paraId="044D556B" w14:textId="77777777" w:rsidR="00F346DF" w:rsidRDefault="00F34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DF379" w14:textId="77777777" w:rsidR="007C79F9" w:rsidRDefault="007C79F9">
      <w:r>
        <w:separator/>
      </w:r>
    </w:p>
  </w:footnote>
  <w:footnote w:type="continuationSeparator" w:id="0">
    <w:p w14:paraId="0FD809C1" w14:textId="77777777" w:rsidR="007C79F9" w:rsidRDefault="007C7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AF249" w14:textId="77777777" w:rsidR="00F346DF" w:rsidRDefault="005035E2">
    <w:pPr>
      <w:pStyle w:val="Header"/>
    </w:pPr>
    <w:r>
      <w:rPr>
        <w:noProof/>
      </w:rPr>
      <w:pict w14:anchorId="1EAE1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251657216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DEF6" w14:textId="77777777" w:rsidR="00F346DF" w:rsidRDefault="005035E2">
    <w:pPr>
      <w:pStyle w:val="Header"/>
    </w:pPr>
    <w:r>
      <w:rPr>
        <w:noProof/>
        <w:lang w:eastAsia="en-GB"/>
      </w:rPr>
      <w:pict w14:anchorId="02B460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251656192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ABEA" w14:textId="77777777" w:rsidR="00F346DF" w:rsidRDefault="005035E2" w:rsidP="00007504">
    <w:pPr>
      <w:pStyle w:val="IconRight"/>
      <w:framePr w:wrap="around"/>
    </w:pPr>
    <w:r>
      <w:rPr>
        <w:noProof/>
      </w:rPr>
      <w:pict w14:anchorId="248DAA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.5pt;height:43pt;mso-position-horizontal-relative:page;mso-position-vertical-relative:page" o:allowoverlap="f">
          <v:imagedata r:id="rId1" o:title="LFABF_Green_Logo"/>
        </v:shape>
      </w:pict>
    </w:r>
  </w:p>
  <w:p w14:paraId="7C7A1CBA" w14:textId="77777777" w:rsidR="00F346DF" w:rsidRDefault="00F346DF" w:rsidP="000075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2B9D9" w14:textId="77777777" w:rsidR="00F346DF" w:rsidRDefault="00F346DF" w:rsidP="00007504">
    <w:pPr>
      <w:pStyle w:val="Icon"/>
      <w:framePr w:wrap="around"/>
    </w:pPr>
  </w:p>
  <w:p w14:paraId="2540A7C1" w14:textId="77777777" w:rsidR="00F346DF" w:rsidRDefault="00F346DF" w:rsidP="00007504">
    <w:pPr>
      <w:pStyle w:val="HeaderOd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D4E08" w14:textId="77777777" w:rsidR="00F346DF" w:rsidRDefault="00F346DF" w:rsidP="00007504">
    <w:pPr>
      <w:pStyle w:val="IconRight"/>
      <w:framePr w:wrap="around"/>
    </w:pPr>
  </w:p>
  <w:p w14:paraId="1117503E" w14:textId="77777777" w:rsidR="00F346DF" w:rsidRDefault="00F346DF" w:rsidP="002A49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ECD9" w14:textId="77777777" w:rsidR="00F346DF" w:rsidRPr="002A4917" w:rsidRDefault="00F346DF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B2B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AAE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04DE59B0"/>
    <w:multiLevelType w:val="hybridMultilevel"/>
    <w:tmpl w:val="5D62F36C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22BF1"/>
    <w:multiLevelType w:val="hybridMultilevel"/>
    <w:tmpl w:val="21BC9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80E43E76"/>
    <w:numStyleLink w:val="Listnum"/>
  </w:abstractNum>
  <w:abstractNum w:abstractNumId="20" w15:restartNumberingAfterBreak="0">
    <w:nsid w:val="2A634C4B"/>
    <w:multiLevelType w:val="hybridMultilevel"/>
    <w:tmpl w:val="FACAC444"/>
    <w:lvl w:ilvl="0" w:tplc="D92E6444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F3715"/>
    <w:multiLevelType w:val="multilevel"/>
    <w:tmpl w:val="80E43E76"/>
    <w:numStyleLink w:val="Listnum"/>
  </w:abstractNum>
  <w:abstractNum w:abstractNumId="22" w15:restartNumberingAfterBreak="0">
    <w:nsid w:val="390D7980"/>
    <w:multiLevelType w:val="hybridMultilevel"/>
    <w:tmpl w:val="8DC8BE30"/>
    <w:lvl w:ilvl="0" w:tplc="4864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A6604"/>
    <w:multiLevelType w:val="hybridMultilevel"/>
    <w:tmpl w:val="0BD8CC68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64966"/>
    <w:multiLevelType w:val="hybridMultilevel"/>
    <w:tmpl w:val="5A0E2A64"/>
    <w:lvl w:ilvl="0" w:tplc="48647D16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5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279B0"/>
    <w:multiLevelType w:val="multilevel"/>
    <w:tmpl w:val="29505346"/>
    <w:numStyleLink w:val="Listtable"/>
  </w:abstractNum>
  <w:abstractNum w:abstractNumId="28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246464C"/>
    <w:multiLevelType w:val="hybridMultilevel"/>
    <w:tmpl w:val="7598DF02"/>
    <w:lvl w:ilvl="0" w:tplc="48647D1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75E357D0"/>
    <w:multiLevelType w:val="hybridMultilevel"/>
    <w:tmpl w:val="FCD06822"/>
    <w:lvl w:ilvl="0" w:tplc="48647D16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488548379">
    <w:abstractNumId w:val="33"/>
  </w:num>
  <w:num w:numId="2" w16cid:durableId="989405432">
    <w:abstractNumId w:val="31"/>
  </w:num>
  <w:num w:numId="3" w16cid:durableId="2058696027">
    <w:abstractNumId w:val="10"/>
  </w:num>
  <w:num w:numId="4" w16cid:durableId="576600569">
    <w:abstractNumId w:val="32"/>
  </w:num>
  <w:num w:numId="5" w16cid:durableId="1140459644">
    <w:abstractNumId w:val="20"/>
  </w:num>
  <w:num w:numId="6" w16cid:durableId="502817043">
    <w:abstractNumId w:val="21"/>
  </w:num>
  <w:num w:numId="7" w16cid:durableId="1683704759">
    <w:abstractNumId w:val="19"/>
  </w:num>
  <w:num w:numId="8" w16cid:durableId="1922523019">
    <w:abstractNumId w:val="29"/>
  </w:num>
  <w:num w:numId="9" w16cid:durableId="268860275">
    <w:abstractNumId w:val="14"/>
  </w:num>
  <w:num w:numId="10" w16cid:durableId="968247757">
    <w:abstractNumId w:val="30"/>
  </w:num>
  <w:num w:numId="11" w16cid:durableId="219556669">
    <w:abstractNumId w:val="13"/>
  </w:num>
  <w:num w:numId="12" w16cid:durableId="71003684">
    <w:abstractNumId w:val="27"/>
  </w:num>
  <w:num w:numId="13" w16cid:durableId="980429078">
    <w:abstractNumId w:val="9"/>
  </w:num>
  <w:num w:numId="14" w16cid:durableId="2046371586">
    <w:abstractNumId w:val="7"/>
  </w:num>
  <w:num w:numId="15" w16cid:durableId="516502919">
    <w:abstractNumId w:val="6"/>
  </w:num>
  <w:num w:numId="16" w16cid:durableId="830100280">
    <w:abstractNumId w:val="5"/>
  </w:num>
  <w:num w:numId="17" w16cid:durableId="1398745380">
    <w:abstractNumId w:val="4"/>
  </w:num>
  <w:num w:numId="18" w16cid:durableId="87894743">
    <w:abstractNumId w:val="8"/>
  </w:num>
  <w:num w:numId="19" w16cid:durableId="826823497">
    <w:abstractNumId w:val="3"/>
  </w:num>
  <w:num w:numId="20" w16cid:durableId="1304235646">
    <w:abstractNumId w:val="2"/>
  </w:num>
  <w:num w:numId="21" w16cid:durableId="975767773">
    <w:abstractNumId w:val="1"/>
  </w:num>
  <w:num w:numId="22" w16cid:durableId="957756677">
    <w:abstractNumId w:val="0"/>
  </w:num>
  <w:num w:numId="23" w16cid:durableId="749154225">
    <w:abstractNumId w:val="11"/>
  </w:num>
  <w:num w:numId="24" w16cid:durableId="1491169965">
    <w:abstractNumId w:val="15"/>
  </w:num>
  <w:num w:numId="25" w16cid:durableId="751897951">
    <w:abstractNumId w:val="26"/>
  </w:num>
  <w:num w:numId="26" w16cid:durableId="946078081">
    <w:abstractNumId w:val="25"/>
  </w:num>
  <w:num w:numId="27" w16cid:durableId="1885091581">
    <w:abstractNumId w:val="18"/>
  </w:num>
  <w:num w:numId="28" w16cid:durableId="910507016">
    <w:abstractNumId w:val="28"/>
  </w:num>
  <w:num w:numId="29" w16cid:durableId="784427459">
    <w:abstractNumId w:val="16"/>
  </w:num>
  <w:num w:numId="30" w16cid:durableId="947199894">
    <w:abstractNumId w:val="30"/>
  </w:num>
  <w:num w:numId="31" w16cid:durableId="2045323015">
    <w:abstractNumId w:val="12"/>
  </w:num>
  <w:num w:numId="32" w16cid:durableId="1975326812">
    <w:abstractNumId w:val="24"/>
  </w:num>
  <w:num w:numId="33" w16cid:durableId="773204933">
    <w:abstractNumId w:val="23"/>
  </w:num>
  <w:num w:numId="34" w16cid:durableId="1348755501">
    <w:abstractNumId w:val="17"/>
  </w:num>
  <w:num w:numId="35" w16cid:durableId="1853301950">
    <w:abstractNumId w:val="22"/>
  </w:num>
  <w:num w:numId="36" w16cid:durableId="1094667526">
    <w:abstractNumId w:val="30"/>
  </w:num>
  <w:num w:numId="37" w16cid:durableId="337924271">
    <w:abstractNumId w:val="30"/>
  </w:num>
  <w:num w:numId="38" w16cid:durableId="358700639">
    <w:abstractNumId w:val="30"/>
  </w:num>
  <w:num w:numId="39" w16cid:durableId="1131899293">
    <w:abstractNumId w:val="30"/>
  </w:num>
  <w:num w:numId="40" w16cid:durableId="1930850459">
    <w:abstractNumId w:val="30"/>
  </w:num>
  <w:num w:numId="41" w16cid:durableId="737897464">
    <w:abstractNumId w:val="30"/>
  </w:num>
  <w:num w:numId="42" w16cid:durableId="1420173276">
    <w:abstractNumId w:val="30"/>
  </w:num>
  <w:num w:numId="43" w16cid:durableId="2145192748">
    <w:abstractNumId w:val="30"/>
  </w:num>
  <w:num w:numId="44" w16cid:durableId="1519542805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7504"/>
    <w:rsid w:val="00037743"/>
    <w:rsid w:val="00076582"/>
    <w:rsid w:val="000A5F54"/>
    <w:rsid w:val="000B32B0"/>
    <w:rsid w:val="000B7DAE"/>
    <w:rsid w:val="000D1FB8"/>
    <w:rsid w:val="000F05AD"/>
    <w:rsid w:val="00112FCC"/>
    <w:rsid w:val="00130940"/>
    <w:rsid w:val="00175540"/>
    <w:rsid w:val="00190A77"/>
    <w:rsid w:val="001A174D"/>
    <w:rsid w:val="001B3491"/>
    <w:rsid w:val="002160FA"/>
    <w:rsid w:val="002229E7"/>
    <w:rsid w:val="00233C67"/>
    <w:rsid w:val="00260129"/>
    <w:rsid w:val="002611A0"/>
    <w:rsid w:val="00282954"/>
    <w:rsid w:val="002A21ED"/>
    <w:rsid w:val="002A4917"/>
    <w:rsid w:val="002C1463"/>
    <w:rsid w:val="00316446"/>
    <w:rsid w:val="00324D84"/>
    <w:rsid w:val="003758B9"/>
    <w:rsid w:val="00377CAC"/>
    <w:rsid w:val="00395ACF"/>
    <w:rsid w:val="003B5DDB"/>
    <w:rsid w:val="003E693A"/>
    <w:rsid w:val="003F4E77"/>
    <w:rsid w:val="00415D03"/>
    <w:rsid w:val="00452AAB"/>
    <w:rsid w:val="00461D34"/>
    <w:rsid w:val="00467C69"/>
    <w:rsid w:val="004834D6"/>
    <w:rsid w:val="004A7E9D"/>
    <w:rsid w:val="004B0863"/>
    <w:rsid w:val="004F15B2"/>
    <w:rsid w:val="004F163A"/>
    <w:rsid w:val="004F2463"/>
    <w:rsid w:val="005035E2"/>
    <w:rsid w:val="005146BB"/>
    <w:rsid w:val="00520093"/>
    <w:rsid w:val="00532F9E"/>
    <w:rsid w:val="0053425B"/>
    <w:rsid w:val="00557C06"/>
    <w:rsid w:val="00580B47"/>
    <w:rsid w:val="00587DD1"/>
    <w:rsid w:val="0059686E"/>
    <w:rsid w:val="005B15D9"/>
    <w:rsid w:val="00621844"/>
    <w:rsid w:val="006328BB"/>
    <w:rsid w:val="00632C67"/>
    <w:rsid w:val="006423C2"/>
    <w:rsid w:val="0067130A"/>
    <w:rsid w:val="006C399D"/>
    <w:rsid w:val="006E290C"/>
    <w:rsid w:val="0072348B"/>
    <w:rsid w:val="00747D37"/>
    <w:rsid w:val="00791717"/>
    <w:rsid w:val="007C79F9"/>
    <w:rsid w:val="007D198F"/>
    <w:rsid w:val="007E2E98"/>
    <w:rsid w:val="00805336"/>
    <w:rsid w:val="0081682B"/>
    <w:rsid w:val="0082429A"/>
    <w:rsid w:val="008449A7"/>
    <w:rsid w:val="008567DD"/>
    <w:rsid w:val="00882486"/>
    <w:rsid w:val="00892512"/>
    <w:rsid w:val="008A3601"/>
    <w:rsid w:val="008B10E5"/>
    <w:rsid w:val="008C0BBD"/>
    <w:rsid w:val="008D3CA4"/>
    <w:rsid w:val="008E4299"/>
    <w:rsid w:val="008F0D2A"/>
    <w:rsid w:val="008F6B94"/>
    <w:rsid w:val="00900C7F"/>
    <w:rsid w:val="00912436"/>
    <w:rsid w:val="0091514E"/>
    <w:rsid w:val="00921ED8"/>
    <w:rsid w:val="009300A3"/>
    <w:rsid w:val="0093385A"/>
    <w:rsid w:val="00964F44"/>
    <w:rsid w:val="009E27A7"/>
    <w:rsid w:val="00A010A8"/>
    <w:rsid w:val="00A07B51"/>
    <w:rsid w:val="00A23C84"/>
    <w:rsid w:val="00A36676"/>
    <w:rsid w:val="00A42441"/>
    <w:rsid w:val="00A56BDE"/>
    <w:rsid w:val="00A9252F"/>
    <w:rsid w:val="00A939A0"/>
    <w:rsid w:val="00A967C8"/>
    <w:rsid w:val="00AC7311"/>
    <w:rsid w:val="00AD16DA"/>
    <w:rsid w:val="00AE7278"/>
    <w:rsid w:val="00B436B8"/>
    <w:rsid w:val="00B84960"/>
    <w:rsid w:val="00B923DC"/>
    <w:rsid w:val="00BA3CE0"/>
    <w:rsid w:val="00BF7EC0"/>
    <w:rsid w:val="00C508DF"/>
    <w:rsid w:val="00C843D1"/>
    <w:rsid w:val="00C90B28"/>
    <w:rsid w:val="00CA47CD"/>
    <w:rsid w:val="00CC5D35"/>
    <w:rsid w:val="00CE495F"/>
    <w:rsid w:val="00CE4D59"/>
    <w:rsid w:val="00D23B61"/>
    <w:rsid w:val="00D34266"/>
    <w:rsid w:val="00D368EB"/>
    <w:rsid w:val="00D56151"/>
    <w:rsid w:val="00D86DAD"/>
    <w:rsid w:val="00DA072F"/>
    <w:rsid w:val="00DD1B75"/>
    <w:rsid w:val="00DD693D"/>
    <w:rsid w:val="00DF0E58"/>
    <w:rsid w:val="00E15475"/>
    <w:rsid w:val="00E24ABF"/>
    <w:rsid w:val="00E44466"/>
    <w:rsid w:val="00E47CC5"/>
    <w:rsid w:val="00E656F5"/>
    <w:rsid w:val="00E6713E"/>
    <w:rsid w:val="00E90A1E"/>
    <w:rsid w:val="00EB0FFC"/>
    <w:rsid w:val="00F346DF"/>
    <w:rsid w:val="00F77197"/>
    <w:rsid w:val="00F91692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4:docId w14:val="6A7D98E3"/>
  <w15:chartTrackingRefBased/>
  <w15:docId w15:val="{4A86B9EB-CE83-49E7-9404-9204F8D5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uiPriority w:val="99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link w:val="HeaderCha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hAnsi="Verdana"/>
      <w:szCs w:val="24"/>
      <w:lang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10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val="en-GB"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69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locked/>
    <w:rsid w:val="003F4E77"/>
    <w:rPr>
      <w:rFonts w:ascii="Verdana" w:hAnsi="Verdana"/>
      <w:sz w:val="14"/>
      <w:szCs w:val="24"/>
      <w:lang w:val="en-GB" w:eastAsia="en-US" w:bidi="ar-SA"/>
    </w:rPr>
  </w:style>
  <w:style w:type="paragraph" w:customStyle="1" w:styleId="guideheadB">
    <w:name w:val="guide head B"/>
    <w:next w:val="Text0"/>
    <w:rsid w:val="008567DD"/>
    <w:pPr>
      <w:pBdr>
        <w:top w:val="single" w:sz="12" w:space="3" w:color="AACAE6"/>
        <w:bottom w:val="single" w:sz="12" w:space="3" w:color="AACAE6"/>
      </w:pBdr>
      <w:spacing w:before="300" w:after="120" w:line="300" w:lineRule="atLeast"/>
    </w:pPr>
    <w:rPr>
      <w:rFonts w:ascii="Verdana" w:hAnsi="Verdana"/>
      <w:b/>
      <w:sz w:val="32"/>
      <w:szCs w:val="24"/>
      <w:lang w:eastAsia="en-US"/>
    </w:rPr>
  </w:style>
  <w:style w:type="paragraph" w:customStyle="1" w:styleId="textindented">
    <w:name w:val="text indented"/>
    <w:next w:val="Normal"/>
    <w:uiPriority w:val="99"/>
    <w:rsid w:val="008567DD"/>
    <w:pPr>
      <w:spacing w:before="60" w:after="60" w:line="260" w:lineRule="atLeast"/>
      <w:ind w:left="357" w:hanging="357"/>
    </w:pPr>
    <w:rPr>
      <w:rFonts w:ascii="Verdana" w:hAnsi="Verdana"/>
      <w:color w:val="000000"/>
      <w:szCs w:val="22"/>
    </w:rPr>
  </w:style>
  <w:style w:type="character" w:customStyle="1" w:styleId="HeaderChar">
    <w:name w:val="Header Char"/>
    <w:link w:val="Header"/>
    <w:rsid w:val="000B7DAE"/>
    <w:rPr>
      <w:rFonts w:ascii="Verdana" w:hAnsi="Verdana"/>
      <w:b/>
      <w:color w:val="405E64"/>
      <w:sz w:val="19"/>
      <w:szCs w:val="24"/>
      <w:lang w:val="en-GB" w:eastAsia="en-US" w:bidi="ar-SA"/>
    </w:rPr>
  </w:style>
  <w:style w:type="paragraph" w:customStyle="1" w:styleId="Bodytext">
    <w:name w:val="Body text"/>
    <w:qFormat/>
    <w:rsid w:val="000B7DAE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0B7DAE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0B7DAE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0B7DAE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character" w:styleId="Hyperlink">
    <w:name w:val="Hyperlink"/>
    <w:rsid w:val="005B15D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622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4161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3</cp:revision>
  <cp:lastPrinted>2014-03-24T13:35:00Z</cp:lastPrinted>
  <dcterms:created xsi:type="dcterms:W3CDTF">2024-12-17T16:55:00Z</dcterms:created>
  <dcterms:modified xsi:type="dcterms:W3CDTF">2024-12-17T17:13:00Z</dcterms:modified>
</cp:coreProperties>
</file>