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D65C7" w14:textId="77777777" w:rsidR="000B7DAE" w:rsidRPr="00671700" w:rsidRDefault="000B7DAE" w:rsidP="000B7DAE">
      <w:pPr>
        <w:pStyle w:val="Front0"/>
      </w:pPr>
      <w:r>
        <w:t>Option B</w:t>
      </w:r>
      <w:r w:rsidR="00DA072F">
        <w:t>3</w:t>
      </w:r>
      <w:r>
        <w:t xml:space="preserve"> scheme of work</w:t>
      </w:r>
    </w:p>
    <w:p w14:paraId="26064C46" w14:textId="77777777" w:rsidR="000B7DAE" w:rsidRPr="00486F63" w:rsidRDefault="000B7DAE" w:rsidP="00ED3EC3">
      <w:pPr>
        <w:pStyle w:val="Front1"/>
        <w:tabs>
          <w:tab w:val="right" w:pos="13608"/>
        </w:tabs>
        <w:spacing w:before="6000"/>
      </w:pPr>
      <w:r>
        <w:rPr>
          <w:b w:val="0"/>
        </w:rPr>
        <w:t>Henry VIII and his ministers, 1509–40</w:t>
      </w:r>
      <w:r w:rsidRPr="00E61753">
        <w:rPr>
          <w:b w:val="0"/>
        </w:rPr>
        <w:t xml:space="preserve"> </w:t>
      </w:r>
      <w:r>
        <w:br/>
      </w:r>
      <w:r w:rsidRPr="00D61977">
        <w:rPr>
          <w:sz w:val="28"/>
          <w:szCs w:val="28"/>
        </w:rPr>
        <w:t>GCSE (9-1) History</w:t>
      </w:r>
      <w:r w:rsidR="00ED3EC3">
        <w:rPr>
          <w:sz w:val="28"/>
          <w:szCs w:val="28"/>
        </w:rPr>
        <w:t xml:space="preserve"> </w:t>
      </w:r>
      <w:r w:rsidR="00ED3EC3">
        <w:rPr>
          <w:sz w:val="28"/>
          <w:szCs w:val="28"/>
        </w:rPr>
        <w:tab/>
        <w:t>(v3 2024)</w:t>
      </w:r>
    </w:p>
    <w:p w14:paraId="5AA8F01F" w14:textId="77777777" w:rsidR="000B7DAE" w:rsidRPr="00D61977" w:rsidRDefault="000B7DAE" w:rsidP="000B7DAE">
      <w:pPr>
        <w:pStyle w:val="Front2"/>
        <w:rPr>
          <w:sz w:val="24"/>
          <w:szCs w:val="24"/>
        </w:rPr>
      </w:pPr>
      <w:r w:rsidRPr="00D61977">
        <w:rPr>
          <w:sz w:val="24"/>
          <w:szCs w:val="24"/>
        </w:rPr>
        <w:t>Pearson Edexcel Level 1/Level 2 GCSE (9-1) in History (1HI0)</w:t>
      </w:r>
    </w:p>
    <w:p w14:paraId="1E10B52C" w14:textId="77777777" w:rsidR="000B7DAE" w:rsidRDefault="000B7DAE" w:rsidP="000B7DAE">
      <w:pPr>
        <w:pStyle w:val="Bodytext"/>
        <w:rPr>
          <w:lang w:eastAsia="en-GB"/>
        </w:rPr>
        <w:sectPr w:rsidR="000B7DAE" w:rsidSect="00AD16DA">
          <w:headerReference w:type="default" r:id="rId8"/>
          <w:footerReference w:type="default" r:id="rId9"/>
          <w:headerReference w:type="first" r:id="rId10"/>
          <w:footerReference w:type="first" r:id="rId11"/>
          <w:pgSz w:w="16840" w:h="11900" w:orient="landscape" w:code="9"/>
          <w:pgMar w:top="1134" w:right="1134" w:bottom="1134" w:left="1134" w:header="567" w:footer="425" w:gutter="0"/>
          <w:cols w:space="708"/>
        </w:sectPr>
      </w:pPr>
    </w:p>
    <w:p w14:paraId="02031FA5" w14:textId="77777777" w:rsidR="00CF0BC6" w:rsidRDefault="00CF0BC6" w:rsidP="00CF0BC6">
      <w:pPr>
        <w:pStyle w:val="Ahead"/>
      </w:pPr>
      <w:r>
        <w:lastRenderedPageBreak/>
        <w:t xml:space="preserve">Introduction </w:t>
      </w:r>
    </w:p>
    <w:p w14:paraId="4CE1BB6E" w14:textId="77777777" w:rsidR="00ED3EC3" w:rsidRDefault="00ED3EC3" w:rsidP="00ED3EC3">
      <w:pPr>
        <w:pStyle w:val="text"/>
      </w:pPr>
      <w:bookmarkStart w:id="0" w:name="_Hlk181198571"/>
      <w:r w:rsidRPr="00A154DD">
        <w:t xml:space="preserve">This scheme of work has been updated to </w:t>
      </w:r>
      <w:r>
        <w:t>match Issue 6 of the</w:t>
      </w:r>
      <w:r w:rsidRPr="00A154DD">
        <w:t xml:space="preserve"> specification. Summary guidance on the changes can be found </w:t>
      </w:r>
      <w:hyperlink r:id="rId12" w:history="1">
        <w:r w:rsidRPr="00A154DD">
          <w:rPr>
            <w:rStyle w:val="Hyperlink"/>
          </w:rPr>
          <w:t>here</w:t>
        </w:r>
      </w:hyperlink>
      <w:r w:rsidRPr="00A154DD">
        <w:t>.</w:t>
      </w:r>
    </w:p>
    <w:p w14:paraId="0AE0578A" w14:textId="77777777" w:rsidR="00ED3EC3" w:rsidRDefault="00ED3EC3" w:rsidP="00ED3EC3">
      <w:pPr>
        <w:pStyle w:val="text"/>
      </w:pPr>
    </w:p>
    <w:bookmarkEnd w:id="0"/>
    <w:p w14:paraId="5B8AF4D1" w14:textId="77777777" w:rsidR="002229E7" w:rsidRPr="00237473" w:rsidRDefault="002229E7" w:rsidP="002229E7">
      <w:pPr>
        <w:pStyle w:val="text"/>
      </w:pPr>
      <w:r w:rsidRPr="00237473">
        <w:t xml:space="preserve">This document provides a sample </w:t>
      </w:r>
      <w:r w:rsidR="008567DD">
        <w:t xml:space="preserve">outline </w:t>
      </w:r>
      <w:r w:rsidRPr="00237473">
        <w:t xml:space="preserve">scheme of work for </w:t>
      </w:r>
      <w:r w:rsidR="00467C69" w:rsidRPr="00467C69">
        <w:rPr>
          <w:b/>
        </w:rPr>
        <w:t>Henry VIII and his ministers, 1509–40</w:t>
      </w:r>
      <w:r w:rsidR="00467C69">
        <w:t>.</w:t>
      </w:r>
      <w:r w:rsidR="004834D6">
        <w:t xml:space="preserve"> </w:t>
      </w:r>
      <w:r w:rsidR="00F91692">
        <w:t xml:space="preserve">This is intended </w:t>
      </w:r>
      <w:r w:rsidR="00F91692" w:rsidRPr="00237473">
        <w:t>as an example approach only and is not prescriptive</w:t>
      </w:r>
      <w:r w:rsidR="00F91692">
        <w:t>: it</w:t>
      </w:r>
      <w:r w:rsidRPr="00237473">
        <w:t xml:space="preserve"> should be adapted by </w:t>
      </w:r>
      <w:r w:rsidR="00F91692">
        <w:t xml:space="preserve">schools </w:t>
      </w:r>
      <w:r w:rsidRPr="00237473">
        <w:t xml:space="preserve">to fit their timetabling and staffing arrangements. </w:t>
      </w:r>
    </w:p>
    <w:p w14:paraId="7CDECBCA" w14:textId="77777777" w:rsidR="00316446" w:rsidRDefault="002229E7" w:rsidP="002229E7">
      <w:pPr>
        <w:pStyle w:val="text"/>
      </w:pPr>
      <w:r w:rsidRPr="00237473">
        <w:t xml:space="preserve">The scheme assumes </w:t>
      </w:r>
      <w:r w:rsidR="00316446">
        <w:t>1</w:t>
      </w:r>
      <w:r w:rsidR="008567DD">
        <w:t>2</w:t>
      </w:r>
      <w:r w:rsidRPr="00237473">
        <w:t xml:space="preserve"> teaching weeks for </w:t>
      </w:r>
      <w:r w:rsidR="008567DD">
        <w:t xml:space="preserve">the </w:t>
      </w:r>
      <w:r w:rsidR="00882486">
        <w:t>British depth</w:t>
      </w:r>
      <w:r w:rsidR="008567DD">
        <w:t xml:space="preserve"> study</w:t>
      </w:r>
      <w:r w:rsidR="00882486">
        <w:t>.</w:t>
      </w:r>
    </w:p>
    <w:p w14:paraId="0A3D0ABC" w14:textId="77777777" w:rsidR="004834D6" w:rsidRDefault="004834D6" w:rsidP="004834D6">
      <w:pPr>
        <w:pStyle w:val="text"/>
      </w:pPr>
      <w:r w:rsidRPr="00316446">
        <w:t xml:space="preserve">The separate </w:t>
      </w:r>
      <w:r w:rsidRPr="00845780">
        <w:rPr>
          <w:b/>
        </w:rPr>
        <w:t>Course planner</w:t>
      </w:r>
      <w:r w:rsidRPr="00316446">
        <w:t xml:space="preserve"> document provides a range of examples of delivery options that can be used for planning alongside this document.</w:t>
      </w:r>
    </w:p>
    <w:p w14:paraId="62D175A2" w14:textId="77777777" w:rsidR="004834D6" w:rsidRPr="00E45736" w:rsidRDefault="004834D6" w:rsidP="004834D6">
      <w:pPr>
        <w:pStyle w:val="text"/>
      </w:pPr>
      <w:r>
        <w:t xml:space="preserve">The separate </w:t>
      </w:r>
      <w:r>
        <w:rPr>
          <w:b/>
        </w:rPr>
        <w:t xml:space="preserve">Topic booklet </w:t>
      </w:r>
      <w:r>
        <w:t>for Option B3</w:t>
      </w:r>
      <w:r w:rsidR="004F2463">
        <w:t xml:space="preserve"> </w:t>
      </w:r>
      <w:r>
        <w:t>includes illustrative exemplification of content.</w:t>
      </w:r>
    </w:p>
    <w:p w14:paraId="189AAF8E" w14:textId="77777777" w:rsidR="00007504" w:rsidRDefault="00007504" w:rsidP="00007504"/>
    <w:p w14:paraId="014D9D0D" w14:textId="77777777" w:rsidR="00CE495F" w:rsidRDefault="00CE495F" w:rsidP="00CE495F">
      <w:pPr>
        <w:pStyle w:val="text"/>
      </w:pPr>
      <w:r>
        <w:t>In adapting this scheme of work, teachers might find it useful to consider the following:</w:t>
      </w:r>
    </w:p>
    <w:p w14:paraId="198EB39F" w14:textId="77777777" w:rsidR="00CE495F" w:rsidRDefault="00CE495F" w:rsidP="00CE495F">
      <w:pPr>
        <w:pStyle w:val="textbullets"/>
      </w:pPr>
      <w:r w:rsidRPr="004001B5">
        <w:t>What</w:t>
      </w:r>
      <w:r>
        <w:t>,</w:t>
      </w:r>
      <w:r w:rsidRPr="004001B5">
        <w:t xml:space="preserve"> and how much</w:t>
      </w:r>
      <w:r>
        <w:t>,</w:t>
      </w:r>
      <w:r w:rsidRPr="004001B5">
        <w:t xml:space="preserve"> background and contextual </w:t>
      </w:r>
      <w:r>
        <w:t xml:space="preserve">material </w:t>
      </w:r>
      <w:r w:rsidRPr="004001B5">
        <w:t>needs to be covered as an introduction and overview before starting the main specification content</w:t>
      </w:r>
      <w:r>
        <w:t>.</w:t>
      </w:r>
      <w:r w:rsidR="00882486">
        <w:t xml:space="preserve"> </w:t>
      </w:r>
      <w:r w:rsidR="00882486">
        <w:rPr>
          <w:rFonts w:cs="Verdana"/>
          <w:bCs/>
          <w:szCs w:val="20"/>
        </w:rPr>
        <w:t>This is likely to depend on the school’s KS3 programme of study and the extent to which students have already developed some familiarity with this period</w:t>
      </w:r>
      <w:r w:rsidR="00CA47CD">
        <w:rPr>
          <w:rFonts w:cs="Verdana"/>
          <w:bCs/>
          <w:szCs w:val="20"/>
        </w:rPr>
        <w:t>.</w:t>
      </w:r>
    </w:p>
    <w:p w14:paraId="128DA193" w14:textId="77777777" w:rsidR="008567DD" w:rsidRDefault="008567DD" w:rsidP="00CE495F">
      <w:pPr>
        <w:pStyle w:val="textbullets"/>
      </w:pPr>
      <w:r>
        <w:t xml:space="preserve">The </w:t>
      </w:r>
      <w:r w:rsidR="007D198F">
        <w:t xml:space="preserve">focus of the </w:t>
      </w:r>
      <w:r>
        <w:t xml:space="preserve">question types in the assessment of the </w:t>
      </w:r>
      <w:r w:rsidR="00112FCC">
        <w:t xml:space="preserve">British depth </w:t>
      </w:r>
      <w:r>
        <w:t xml:space="preserve">study: </w:t>
      </w:r>
    </w:p>
    <w:p w14:paraId="5E7C35F7" w14:textId="77777777" w:rsidR="008567DD" w:rsidRDefault="00882486" w:rsidP="008567DD">
      <w:pPr>
        <w:pStyle w:val="textbullets"/>
        <w:numPr>
          <w:ilvl w:val="2"/>
          <w:numId w:val="9"/>
        </w:numPr>
      </w:pPr>
      <w:r>
        <w:t xml:space="preserve">Describe </w:t>
      </w:r>
      <w:r w:rsidR="00ED3EC3" w:rsidRPr="00ED3EC3">
        <w:rPr>
          <w:b/>
          <w:bCs/>
        </w:rPr>
        <w:t>one</w:t>
      </w:r>
      <w:r>
        <w:t xml:space="preserve"> feature of</w:t>
      </w:r>
      <w:r w:rsidR="008567DD">
        <w:t>...</w:t>
      </w:r>
    </w:p>
    <w:p w14:paraId="5E2F37B5" w14:textId="77777777" w:rsidR="00007504" w:rsidRDefault="00882486" w:rsidP="008567DD">
      <w:pPr>
        <w:pStyle w:val="textbullets"/>
        <w:numPr>
          <w:ilvl w:val="2"/>
          <w:numId w:val="9"/>
        </w:numPr>
      </w:pPr>
      <w:r>
        <w:t>Explain why...</w:t>
      </w:r>
    </w:p>
    <w:p w14:paraId="5478FD5C" w14:textId="77777777" w:rsidR="008567DD" w:rsidRDefault="00882486" w:rsidP="008567DD">
      <w:pPr>
        <w:pStyle w:val="textbullets"/>
        <w:numPr>
          <w:ilvl w:val="2"/>
          <w:numId w:val="9"/>
        </w:numPr>
      </w:pPr>
      <w:r>
        <w:t xml:space="preserve">‘[statement]’ How far do you agree? Explain your answer. (Any second-order </w:t>
      </w:r>
      <w:r w:rsidR="00CA47CD">
        <w:t>concep</w:t>
      </w:r>
      <w:r>
        <w:t>t)</w:t>
      </w:r>
    </w:p>
    <w:p w14:paraId="409C8DC2" w14:textId="77777777" w:rsidR="00BA3CE0" w:rsidRDefault="00BA3CE0" w:rsidP="00BA3CE0">
      <w:pPr>
        <w:pStyle w:val="textbullets"/>
        <w:numPr>
          <w:ilvl w:val="0"/>
          <w:numId w:val="0"/>
        </w:numPr>
        <w:ind w:left="964" w:hanging="397"/>
      </w:pPr>
    </w:p>
    <w:p w14:paraId="50F7356D" w14:textId="77777777" w:rsidR="00BA3CE0" w:rsidRDefault="00BA3CE0" w:rsidP="00BA3CE0">
      <w:pPr>
        <w:pStyle w:val="textbullets"/>
        <w:numPr>
          <w:ilvl w:val="0"/>
          <w:numId w:val="0"/>
        </w:numPr>
        <w:ind w:left="964" w:hanging="397"/>
        <w:sectPr w:rsidR="00BA3CE0" w:rsidSect="004834D6">
          <w:headerReference w:type="even" r:id="rId13"/>
          <w:headerReference w:type="default" r:id="rId14"/>
          <w:footerReference w:type="even" r:id="rId15"/>
          <w:footerReference w:type="default" r:id="rId16"/>
          <w:pgSz w:w="16840" w:h="11900" w:orient="landscape" w:code="9"/>
          <w:pgMar w:top="1418" w:right="1418" w:bottom="1418" w:left="1134" w:header="567" w:footer="567" w:gutter="0"/>
          <w:pgNumType w:start="1"/>
          <w:cols w:space="708"/>
          <w:docGrid w:linePitch="326"/>
        </w:sectPr>
      </w:pPr>
    </w:p>
    <w:p w14:paraId="36C96A4B" w14:textId="77777777" w:rsidR="00007504" w:rsidRPr="0010147D" w:rsidRDefault="00007504" w:rsidP="00007504">
      <w:pPr>
        <w:pStyle w:val="text"/>
      </w:pPr>
    </w:p>
    <w:tbl>
      <w:tblPr>
        <w:tblW w:w="4973" w:type="pct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958"/>
        <w:gridCol w:w="13468"/>
      </w:tblGrid>
      <w:tr w:rsidR="008567DD" w:rsidRPr="004C7F7D" w14:paraId="25D23D2A" w14:textId="77777777" w:rsidTr="00BD3308">
        <w:trPr>
          <w:cantSplit/>
          <w:trHeight w:val="214"/>
          <w:tblHeader/>
        </w:trPr>
        <w:tc>
          <w:tcPr>
            <w:tcW w:w="332" w:type="pct"/>
            <w:tcBorders>
              <w:top w:val="single" w:sz="4" w:space="0" w:color="FFFFFF"/>
              <w:left w:val="single" w:sz="4" w:space="0" w:color="FFFFFF"/>
              <w:bottom w:val="single" w:sz="4" w:space="0" w:color="999999"/>
              <w:right w:val="single" w:sz="4" w:space="0" w:color="FFFFFF"/>
            </w:tcBorders>
            <w:shd w:val="clear" w:color="auto" w:fill="999999"/>
          </w:tcPr>
          <w:p w14:paraId="67FF94F6" w14:textId="77777777" w:rsidR="008567DD" w:rsidRPr="00F532F8" w:rsidRDefault="008567DD" w:rsidP="00BD3308">
            <w:pPr>
              <w:pStyle w:val="tabletexthd"/>
              <w:spacing w:before="60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</w:rPr>
              <w:t>Week</w:t>
            </w:r>
          </w:p>
        </w:tc>
        <w:tc>
          <w:tcPr>
            <w:tcW w:w="4668" w:type="pct"/>
            <w:tcBorders>
              <w:top w:val="single" w:sz="4" w:space="0" w:color="FFFFFF"/>
              <w:left w:val="single" w:sz="4" w:space="0" w:color="FFFFFF"/>
              <w:bottom w:val="single" w:sz="4" w:space="0" w:color="999999"/>
              <w:right w:val="single" w:sz="4" w:space="0" w:color="FFFFFF"/>
            </w:tcBorders>
            <w:shd w:val="clear" w:color="auto" w:fill="999999"/>
          </w:tcPr>
          <w:p w14:paraId="530299C7" w14:textId="77777777" w:rsidR="008567DD" w:rsidRDefault="008567DD" w:rsidP="00BD3308">
            <w:pPr>
              <w:pStyle w:val="tabletexthd"/>
              <w:spacing w:befor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Specification content</w:t>
            </w:r>
          </w:p>
        </w:tc>
      </w:tr>
      <w:tr w:rsidR="00A07B51" w:rsidRPr="002B4ED0" w14:paraId="25AAFC1F" w14:textId="77777777" w:rsidTr="00BD3308">
        <w:trPr>
          <w:cantSplit/>
          <w:trHeight w:val="400"/>
        </w:trPr>
        <w:tc>
          <w:tcPr>
            <w:tcW w:w="332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0D812DE2" w14:textId="77777777" w:rsidR="00A07B51" w:rsidRPr="00007504" w:rsidRDefault="00A07B51" w:rsidP="00BD3308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4668" w:type="pct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2FC9DE5E" w14:textId="77777777" w:rsidR="00A07B51" w:rsidRPr="00DD693D" w:rsidRDefault="00A07B51" w:rsidP="00A07B51">
            <w:pPr>
              <w:pStyle w:val="Tabletextbullets"/>
              <w:rPr>
                <w:i/>
              </w:rPr>
            </w:pPr>
            <w:r w:rsidRPr="00DD693D">
              <w:rPr>
                <w:i/>
              </w:rPr>
              <w:t xml:space="preserve">Introduction and overview of </w:t>
            </w:r>
            <w:r w:rsidR="004F2463">
              <w:rPr>
                <w:i/>
              </w:rPr>
              <w:t>Henry VIII and his ministers, 1509–40</w:t>
            </w:r>
            <w:r w:rsidR="00C843D1" w:rsidRPr="00DD693D">
              <w:rPr>
                <w:i/>
              </w:rPr>
              <w:t>.</w:t>
            </w:r>
          </w:p>
          <w:p w14:paraId="6E647684" w14:textId="77777777" w:rsidR="00DD693D" w:rsidRDefault="00DD693D" w:rsidP="00A07B51">
            <w:pPr>
              <w:pStyle w:val="Tabletext"/>
              <w:rPr>
                <w:b/>
              </w:rPr>
            </w:pPr>
          </w:p>
          <w:p w14:paraId="1F2392E7" w14:textId="77777777" w:rsidR="00A07B51" w:rsidRPr="00A07B51" w:rsidRDefault="00A07B51" w:rsidP="004F2463">
            <w:pPr>
              <w:pStyle w:val="Tabletext"/>
              <w:rPr>
                <w:b/>
              </w:rPr>
            </w:pPr>
            <w:r w:rsidRPr="00A07B51">
              <w:rPr>
                <w:b/>
              </w:rPr>
              <w:t xml:space="preserve">Key </w:t>
            </w:r>
            <w:r w:rsidR="00C843D1">
              <w:rPr>
                <w:b/>
              </w:rPr>
              <w:t>t</w:t>
            </w:r>
            <w:r w:rsidR="00C843D1" w:rsidRPr="00A07B51">
              <w:rPr>
                <w:b/>
              </w:rPr>
              <w:t xml:space="preserve">opic </w:t>
            </w:r>
            <w:r w:rsidRPr="00A07B51">
              <w:rPr>
                <w:b/>
              </w:rPr>
              <w:t xml:space="preserve">1.1 </w:t>
            </w:r>
            <w:r w:rsidR="004F2463" w:rsidRPr="004F2463">
              <w:rPr>
                <w:b/>
              </w:rPr>
              <w:t>Henry VIII, Renaissance Prince</w:t>
            </w:r>
          </w:p>
          <w:p w14:paraId="32C75F97" w14:textId="77777777" w:rsidR="00A07B51" w:rsidRPr="00D51DBB" w:rsidRDefault="004F2463" w:rsidP="0053425B">
            <w:pPr>
              <w:pStyle w:val="Tabletextbullets"/>
            </w:pPr>
            <w:r>
              <w:rPr>
                <w:lang w:eastAsia="en-GB"/>
              </w:rPr>
              <w:t>England in 1509: society and government. The young Henry and his accession to the throne.</w:t>
            </w:r>
          </w:p>
        </w:tc>
      </w:tr>
      <w:tr w:rsidR="00A07B51" w:rsidRPr="002B4ED0" w14:paraId="67F7BB9F" w14:textId="77777777" w:rsidTr="00BD3308">
        <w:trPr>
          <w:cantSplit/>
          <w:trHeight w:val="77"/>
        </w:trPr>
        <w:tc>
          <w:tcPr>
            <w:tcW w:w="332" w:type="pct"/>
            <w:tcBorders>
              <w:top w:val="single" w:sz="4" w:space="0" w:color="999999"/>
            </w:tcBorders>
            <w:shd w:val="clear" w:color="auto" w:fill="auto"/>
          </w:tcPr>
          <w:p w14:paraId="2B970A0E" w14:textId="77777777" w:rsidR="00A07B51" w:rsidRDefault="00A07B51" w:rsidP="00BD3308">
            <w:pPr>
              <w:pStyle w:val="textbullets"/>
              <w:numPr>
                <w:ilvl w:val="0"/>
                <w:numId w:val="0"/>
              </w:numPr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4668" w:type="pct"/>
            <w:tcBorders>
              <w:top w:val="single" w:sz="4" w:space="0" w:color="999999"/>
            </w:tcBorders>
          </w:tcPr>
          <w:p w14:paraId="5C6977ED" w14:textId="77777777" w:rsidR="004F2463" w:rsidRPr="004F2463" w:rsidRDefault="004F2463" w:rsidP="0053425B">
            <w:pPr>
              <w:pStyle w:val="Tabletextbullets"/>
            </w:pPr>
            <w:r>
              <w:rPr>
                <w:lang w:eastAsia="en-GB"/>
              </w:rPr>
              <w:t>Henry’s character and views on sovereignty and monarchy. His personal style of government.</w:t>
            </w:r>
          </w:p>
          <w:p w14:paraId="552AABD1" w14:textId="77777777" w:rsidR="00A07B51" w:rsidRDefault="004F2463" w:rsidP="0053425B">
            <w:pPr>
              <w:pStyle w:val="Tabletextbullets"/>
            </w:pPr>
            <w:r>
              <w:rPr>
                <w:lang w:eastAsia="en-GB"/>
              </w:rPr>
              <w:t>Strengths, weaknesses and aims as monarch.</w:t>
            </w:r>
          </w:p>
          <w:p w14:paraId="610E6044" w14:textId="77777777" w:rsidR="002C1463" w:rsidRDefault="002C1463" w:rsidP="002C1463">
            <w:pPr>
              <w:pStyle w:val="Tabletextbullets"/>
              <w:numPr>
                <w:ilvl w:val="0"/>
                <w:numId w:val="0"/>
              </w:numPr>
              <w:ind w:left="397" w:hanging="397"/>
              <w:rPr>
                <w:lang w:eastAsia="en-GB"/>
              </w:rPr>
            </w:pPr>
          </w:p>
          <w:p w14:paraId="7F900DC1" w14:textId="77777777" w:rsidR="002C1463" w:rsidRPr="00A07B51" w:rsidRDefault="002C1463" w:rsidP="002C1463">
            <w:pPr>
              <w:pStyle w:val="Tabletext"/>
              <w:rPr>
                <w:b/>
              </w:rPr>
            </w:pPr>
            <w:r w:rsidRPr="00A07B51">
              <w:rPr>
                <w:b/>
              </w:rPr>
              <w:t xml:space="preserve">Key </w:t>
            </w:r>
            <w:r>
              <w:rPr>
                <w:b/>
              </w:rPr>
              <w:t>t</w:t>
            </w:r>
            <w:r w:rsidRPr="00A07B51">
              <w:rPr>
                <w:b/>
              </w:rPr>
              <w:t xml:space="preserve">opic 1.2 </w:t>
            </w:r>
            <w:r w:rsidRPr="0053425B">
              <w:rPr>
                <w:b/>
              </w:rPr>
              <w:t>The rise of</w:t>
            </w:r>
            <w:r>
              <w:rPr>
                <w:b/>
              </w:rPr>
              <w:t xml:space="preserve"> </w:t>
            </w:r>
            <w:r w:rsidRPr="0053425B">
              <w:rPr>
                <w:b/>
              </w:rPr>
              <w:t>Wolsey and</w:t>
            </w:r>
            <w:r>
              <w:rPr>
                <w:b/>
              </w:rPr>
              <w:t xml:space="preserve"> </w:t>
            </w:r>
            <w:r w:rsidRPr="0053425B">
              <w:rPr>
                <w:b/>
              </w:rPr>
              <w:t>his policies</w:t>
            </w:r>
          </w:p>
          <w:p w14:paraId="546CAB62" w14:textId="77777777" w:rsidR="002C1463" w:rsidRPr="002541E7" w:rsidRDefault="002C1463" w:rsidP="002C1463">
            <w:pPr>
              <w:pStyle w:val="Tabletextbullets"/>
              <w:rPr>
                <w:lang w:eastAsia="en-GB"/>
              </w:rPr>
            </w:pPr>
            <w:r>
              <w:rPr>
                <w:lang w:eastAsia="en-GB"/>
              </w:rPr>
              <w:t>Reasons for Wolsey’s rise to power. His personality, roles and wealth.</w:t>
            </w:r>
          </w:p>
        </w:tc>
      </w:tr>
      <w:tr w:rsidR="00A07B51" w:rsidRPr="002B4ED0" w14:paraId="2F68C9FE" w14:textId="77777777" w:rsidTr="00BD3308">
        <w:trPr>
          <w:cantSplit/>
          <w:trHeight w:val="400"/>
        </w:trPr>
        <w:tc>
          <w:tcPr>
            <w:tcW w:w="332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25E5A79E" w14:textId="77777777" w:rsidR="00A07B51" w:rsidRDefault="00A07B51" w:rsidP="00BD3308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4668" w:type="pct"/>
            <w:tcBorders>
              <w:top w:val="single" w:sz="4" w:space="0" w:color="999999"/>
              <w:bottom w:val="single" w:sz="4" w:space="0" w:color="999999"/>
            </w:tcBorders>
          </w:tcPr>
          <w:p w14:paraId="765C1E9A" w14:textId="77777777" w:rsidR="004F2463" w:rsidRDefault="004F2463" w:rsidP="0053425B">
            <w:pPr>
              <w:pStyle w:val="Tabletextbullets"/>
              <w:rPr>
                <w:lang w:eastAsia="en-GB"/>
              </w:rPr>
            </w:pPr>
            <w:r>
              <w:rPr>
                <w:lang w:eastAsia="en-GB"/>
              </w:rPr>
              <w:t>Wolsey’s reforms: enclosures, finance and justice. The Eltham</w:t>
            </w:r>
            <w:r w:rsidR="0053425B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>Ordinances.</w:t>
            </w:r>
          </w:p>
          <w:p w14:paraId="470F01B7" w14:textId="77777777" w:rsidR="00A07B51" w:rsidRDefault="004F2463" w:rsidP="0053425B">
            <w:pPr>
              <w:pStyle w:val="Tabletextbullets"/>
            </w:pPr>
            <w:r>
              <w:rPr>
                <w:lang w:eastAsia="en-GB"/>
              </w:rPr>
              <w:t>Reasons for and reactions to the Amicable Grant.</w:t>
            </w:r>
          </w:p>
          <w:p w14:paraId="25C1A86B" w14:textId="77777777" w:rsidR="000A5F54" w:rsidRDefault="000A5F54" w:rsidP="000A5F54">
            <w:pPr>
              <w:pStyle w:val="Tabletextbullets"/>
              <w:numPr>
                <w:ilvl w:val="0"/>
                <w:numId w:val="0"/>
              </w:numPr>
              <w:ind w:left="397" w:hanging="397"/>
              <w:rPr>
                <w:lang w:eastAsia="en-GB"/>
              </w:rPr>
            </w:pPr>
          </w:p>
          <w:p w14:paraId="1166C9AB" w14:textId="77777777" w:rsidR="000A5F54" w:rsidRPr="00A07B51" w:rsidRDefault="000A5F54" w:rsidP="000A5F54">
            <w:pPr>
              <w:pStyle w:val="Tabletext"/>
              <w:rPr>
                <w:b/>
              </w:rPr>
            </w:pPr>
            <w:r w:rsidRPr="00A07B51">
              <w:rPr>
                <w:b/>
              </w:rPr>
              <w:t xml:space="preserve">Key </w:t>
            </w:r>
            <w:r>
              <w:rPr>
                <w:b/>
              </w:rPr>
              <w:t>t</w:t>
            </w:r>
            <w:r w:rsidRPr="00A07B51">
              <w:rPr>
                <w:b/>
              </w:rPr>
              <w:t xml:space="preserve">opic 1.3 </w:t>
            </w:r>
            <w:r w:rsidRPr="00260129">
              <w:rPr>
                <w:b/>
              </w:rPr>
              <w:t>Wolsey’s</w:t>
            </w:r>
            <w:r>
              <w:rPr>
                <w:b/>
              </w:rPr>
              <w:t xml:space="preserve"> </w:t>
            </w:r>
            <w:r w:rsidRPr="00260129">
              <w:rPr>
                <w:b/>
              </w:rPr>
              <w:t>foreign policy</w:t>
            </w:r>
          </w:p>
          <w:p w14:paraId="2F5372D3" w14:textId="77777777" w:rsidR="000A5F54" w:rsidRPr="002541E7" w:rsidRDefault="000A5F54" w:rsidP="000A5F54">
            <w:pPr>
              <w:pStyle w:val="Tabletextbullets"/>
              <w:rPr>
                <w:lang w:eastAsia="en-GB"/>
              </w:rPr>
            </w:pPr>
            <w:r w:rsidRPr="00260129">
              <w:rPr>
                <w:lang w:eastAsia="en-GB"/>
              </w:rPr>
              <w:t>Aims of Wolsey’s foreign policy.</w:t>
            </w:r>
          </w:p>
        </w:tc>
      </w:tr>
      <w:tr w:rsidR="00A07B51" w:rsidRPr="002B4ED0" w14:paraId="276CA1C2" w14:textId="77777777" w:rsidTr="00BD3308">
        <w:trPr>
          <w:cantSplit/>
          <w:trHeight w:val="400"/>
        </w:trPr>
        <w:tc>
          <w:tcPr>
            <w:tcW w:w="332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6219D7BC" w14:textId="77777777" w:rsidR="00A07B51" w:rsidRDefault="00A07B51" w:rsidP="00BD3308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</w:t>
            </w:r>
          </w:p>
        </w:tc>
        <w:tc>
          <w:tcPr>
            <w:tcW w:w="4668" w:type="pct"/>
            <w:tcBorders>
              <w:top w:val="single" w:sz="4" w:space="0" w:color="999999"/>
              <w:bottom w:val="single" w:sz="4" w:space="0" w:color="999999"/>
            </w:tcBorders>
          </w:tcPr>
          <w:p w14:paraId="1476258F" w14:textId="77777777" w:rsidR="00A07B51" w:rsidRDefault="004F2463" w:rsidP="00260129">
            <w:pPr>
              <w:pStyle w:val="Tabletextbullets"/>
            </w:pPr>
            <w:r w:rsidRPr="00260129">
              <w:rPr>
                <w:lang w:eastAsia="en-GB"/>
              </w:rPr>
              <w:t>Successes and failures, including relations with France and the Holy</w:t>
            </w:r>
            <w:r w:rsidR="00260129">
              <w:rPr>
                <w:lang w:eastAsia="en-GB"/>
              </w:rPr>
              <w:t xml:space="preserve"> </w:t>
            </w:r>
            <w:r w:rsidRPr="00260129">
              <w:rPr>
                <w:lang w:eastAsia="en-GB"/>
              </w:rPr>
              <w:t>Roman Empire, the Treaty of London (1518), the ‘Field of the Cloth</w:t>
            </w:r>
            <w:r w:rsidR="00260129">
              <w:rPr>
                <w:lang w:eastAsia="en-GB"/>
              </w:rPr>
              <w:t xml:space="preserve"> </w:t>
            </w:r>
            <w:r w:rsidRPr="00260129">
              <w:rPr>
                <w:lang w:eastAsia="en-GB"/>
              </w:rPr>
              <w:t>of Gold’ (1520) and increasing difficulties in the 1520s.</w:t>
            </w:r>
          </w:p>
          <w:p w14:paraId="138BA5C2" w14:textId="77777777" w:rsidR="000A5F54" w:rsidRDefault="000A5F54" w:rsidP="000A5F54">
            <w:pPr>
              <w:pStyle w:val="Tabletextbullets"/>
              <w:numPr>
                <w:ilvl w:val="0"/>
                <w:numId w:val="0"/>
              </w:numPr>
              <w:ind w:left="397" w:hanging="397"/>
              <w:rPr>
                <w:lang w:eastAsia="en-GB"/>
              </w:rPr>
            </w:pPr>
          </w:p>
          <w:p w14:paraId="6F62CFE7" w14:textId="77777777" w:rsidR="000A5F54" w:rsidRPr="00A07B51" w:rsidRDefault="000A5F54" w:rsidP="000A5F54">
            <w:pPr>
              <w:pStyle w:val="Tabletext"/>
              <w:rPr>
                <w:b/>
              </w:rPr>
            </w:pPr>
            <w:r w:rsidRPr="00A07B51">
              <w:rPr>
                <w:b/>
              </w:rPr>
              <w:t xml:space="preserve">Key </w:t>
            </w:r>
            <w:r>
              <w:rPr>
                <w:b/>
              </w:rPr>
              <w:t>t</w:t>
            </w:r>
            <w:r w:rsidRPr="00A07B51">
              <w:rPr>
                <w:b/>
              </w:rPr>
              <w:t xml:space="preserve">opic 1.4 </w:t>
            </w:r>
            <w:r w:rsidRPr="00260129">
              <w:rPr>
                <w:b/>
              </w:rPr>
              <w:t>Wolsey,</w:t>
            </w:r>
            <w:r>
              <w:rPr>
                <w:b/>
              </w:rPr>
              <w:t xml:space="preserve"> </w:t>
            </w:r>
            <w:r w:rsidRPr="00260129">
              <w:rPr>
                <w:b/>
              </w:rPr>
              <w:t>Catherine, the</w:t>
            </w:r>
            <w:r>
              <w:rPr>
                <w:b/>
              </w:rPr>
              <w:t xml:space="preserve"> </w:t>
            </w:r>
            <w:r w:rsidRPr="00260129">
              <w:rPr>
                <w:b/>
              </w:rPr>
              <w:t>succession</w:t>
            </w:r>
            <w:r>
              <w:rPr>
                <w:b/>
              </w:rPr>
              <w:t xml:space="preserve"> </w:t>
            </w:r>
            <w:r w:rsidRPr="00260129">
              <w:rPr>
                <w:b/>
              </w:rPr>
              <w:t>and</w:t>
            </w:r>
            <w:r>
              <w:rPr>
                <w:b/>
              </w:rPr>
              <w:t xml:space="preserve"> </w:t>
            </w:r>
            <w:r w:rsidRPr="00260129">
              <w:rPr>
                <w:b/>
              </w:rPr>
              <w:t>annulment</w:t>
            </w:r>
          </w:p>
          <w:p w14:paraId="3CCEB53F" w14:textId="77777777" w:rsidR="000A5F54" w:rsidRDefault="000A5F54" w:rsidP="000A5F54">
            <w:pPr>
              <w:pStyle w:val="Tabletextbullets"/>
              <w:rPr>
                <w:lang w:eastAsia="en-GB"/>
              </w:rPr>
            </w:pPr>
            <w:r>
              <w:rPr>
                <w:lang w:eastAsia="en-GB"/>
              </w:rPr>
              <w:t xml:space="preserve">Catherine of Aragon and the succession. </w:t>
            </w:r>
          </w:p>
          <w:p w14:paraId="610C141E" w14:textId="77777777" w:rsidR="000A5F54" w:rsidRPr="002541E7" w:rsidRDefault="000A5F54" w:rsidP="000A5F54">
            <w:pPr>
              <w:pStyle w:val="Tabletextbullets"/>
              <w:rPr>
                <w:lang w:eastAsia="en-GB"/>
              </w:rPr>
            </w:pPr>
            <w:r>
              <w:rPr>
                <w:lang w:eastAsia="en-GB"/>
              </w:rPr>
              <w:t>Henry’s reasons for and attempts to gain an annulment. Opposition to the annulment, including the role of Pope Clement VII.</w:t>
            </w:r>
          </w:p>
        </w:tc>
      </w:tr>
      <w:tr w:rsidR="00A07B51" w:rsidRPr="002B4ED0" w14:paraId="73AD9B17" w14:textId="77777777" w:rsidTr="00BD3308">
        <w:trPr>
          <w:cantSplit/>
          <w:trHeight w:val="810"/>
        </w:trPr>
        <w:tc>
          <w:tcPr>
            <w:tcW w:w="332" w:type="pct"/>
            <w:tcBorders>
              <w:top w:val="single" w:sz="4" w:space="0" w:color="999999"/>
            </w:tcBorders>
            <w:shd w:val="clear" w:color="auto" w:fill="auto"/>
          </w:tcPr>
          <w:p w14:paraId="0D8667AC" w14:textId="77777777" w:rsidR="00A07B51" w:rsidRDefault="00A07B51" w:rsidP="00BD3308">
            <w:pPr>
              <w:pStyle w:val="textbullets"/>
              <w:numPr>
                <w:ilvl w:val="0"/>
                <w:numId w:val="0"/>
              </w:numPr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5</w:t>
            </w:r>
          </w:p>
        </w:tc>
        <w:tc>
          <w:tcPr>
            <w:tcW w:w="4668" w:type="pct"/>
            <w:tcBorders>
              <w:top w:val="single" w:sz="4" w:space="0" w:color="999999"/>
            </w:tcBorders>
          </w:tcPr>
          <w:p w14:paraId="7843DCF1" w14:textId="77777777" w:rsidR="0067130A" w:rsidRDefault="004F2463" w:rsidP="00260129">
            <w:pPr>
              <w:pStyle w:val="Tabletextbullets"/>
            </w:pPr>
            <w:r>
              <w:rPr>
                <w:lang w:eastAsia="en-GB"/>
              </w:rPr>
              <w:t>Reasons for Wolsey’s fall from power, including the failure of the</w:t>
            </w:r>
            <w:r w:rsidR="00260129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>divorce proceedings in London</w:t>
            </w:r>
            <w:r w:rsidR="00ED3EC3">
              <w:rPr>
                <w:lang w:eastAsia="en-GB"/>
              </w:rPr>
              <w:t xml:space="preserve"> and</w:t>
            </w:r>
            <w:r>
              <w:rPr>
                <w:lang w:eastAsia="en-GB"/>
              </w:rPr>
              <w:t xml:space="preserve"> </w:t>
            </w:r>
            <w:r w:rsidR="00ED3EC3">
              <w:rPr>
                <w:lang w:eastAsia="en-GB"/>
              </w:rPr>
              <w:t>t</w:t>
            </w:r>
            <w:r>
              <w:rPr>
                <w:lang w:eastAsia="en-GB"/>
              </w:rPr>
              <w:t xml:space="preserve">he influence of the </w:t>
            </w:r>
            <w:proofErr w:type="spellStart"/>
            <w:r>
              <w:rPr>
                <w:lang w:eastAsia="en-GB"/>
              </w:rPr>
              <w:t>Boleyns</w:t>
            </w:r>
            <w:proofErr w:type="spellEnd"/>
            <w:r>
              <w:rPr>
                <w:lang w:eastAsia="en-GB"/>
              </w:rPr>
              <w:t>.</w:t>
            </w:r>
          </w:p>
          <w:p w14:paraId="5E7FF0E0" w14:textId="77777777" w:rsidR="0072348B" w:rsidRDefault="0072348B" w:rsidP="0072348B">
            <w:pPr>
              <w:pStyle w:val="Tabletext"/>
              <w:rPr>
                <w:b/>
              </w:rPr>
            </w:pPr>
          </w:p>
          <w:p w14:paraId="6D48ADCB" w14:textId="77777777" w:rsidR="0072348B" w:rsidRPr="00A07B51" w:rsidRDefault="0072348B" w:rsidP="0072348B">
            <w:pPr>
              <w:pStyle w:val="Tabletext"/>
              <w:rPr>
                <w:b/>
              </w:rPr>
            </w:pPr>
            <w:r w:rsidRPr="00A07B51">
              <w:rPr>
                <w:b/>
              </w:rPr>
              <w:t xml:space="preserve">Key </w:t>
            </w:r>
            <w:r>
              <w:rPr>
                <w:b/>
              </w:rPr>
              <w:t>t</w:t>
            </w:r>
            <w:r w:rsidRPr="00A07B51">
              <w:rPr>
                <w:b/>
              </w:rPr>
              <w:t xml:space="preserve">opic 2.1 </w:t>
            </w:r>
            <w:r w:rsidRPr="00747D37">
              <w:rPr>
                <w:b/>
              </w:rPr>
              <w:t>Cromwell’s</w:t>
            </w:r>
            <w:r>
              <w:rPr>
                <w:b/>
              </w:rPr>
              <w:t xml:space="preserve"> </w:t>
            </w:r>
            <w:r w:rsidRPr="00747D37">
              <w:rPr>
                <w:b/>
              </w:rPr>
              <w:t>rise to power,</w:t>
            </w:r>
            <w:r>
              <w:rPr>
                <w:b/>
              </w:rPr>
              <w:t xml:space="preserve"> </w:t>
            </w:r>
            <w:r w:rsidRPr="00747D37">
              <w:rPr>
                <w:b/>
              </w:rPr>
              <w:t>1529–34</w:t>
            </w:r>
          </w:p>
          <w:p w14:paraId="75D87967" w14:textId="77777777" w:rsidR="000A5F54" w:rsidRDefault="0072348B" w:rsidP="0072348B">
            <w:pPr>
              <w:pStyle w:val="Tabletextbullets"/>
              <w:rPr>
                <w:lang w:eastAsia="en-GB"/>
              </w:rPr>
            </w:pPr>
            <w:r w:rsidRPr="00BF7EC0">
              <w:rPr>
                <w:lang w:eastAsia="en-GB"/>
              </w:rPr>
              <w:t>Personality and early career, including service to Wolsey, election as</w:t>
            </w:r>
            <w:r>
              <w:rPr>
                <w:lang w:eastAsia="en-GB"/>
              </w:rPr>
              <w:t xml:space="preserve"> </w:t>
            </w:r>
            <w:r w:rsidRPr="00BF7EC0">
              <w:rPr>
                <w:lang w:eastAsia="en-GB"/>
              </w:rPr>
              <w:t>MP and eventual membership of the Royal Council.</w:t>
            </w:r>
          </w:p>
          <w:p w14:paraId="18403E95" w14:textId="51D3A3F9" w:rsidR="00E044E0" w:rsidRPr="002541E7" w:rsidRDefault="00E044E0" w:rsidP="0072348B">
            <w:pPr>
              <w:pStyle w:val="Tabletextbullets"/>
              <w:rPr>
                <w:lang w:eastAsia="en-GB"/>
              </w:rPr>
            </w:pPr>
            <w:r w:rsidRPr="00BF7EC0">
              <w:rPr>
                <w:lang w:eastAsia="en-GB"/>
              </w:rPr>
              <w:t>Handling of the king’s annulment and influence over Henry. Role as</w:t>
            </w:r>
            <w:r>
              <w:rPr>
                <w:lang w:eastAsia="en-GB"/>
              </w:rPr>
              <w:t xml:space="preserve"> </w:t>
            </w:r>
            <w:r w:rsidRPr="00BF7EC0">
              <w:rPr>
                <w:lang w:eastAsia="en-GB"/>
              </w:rPr>
              <w:t>the king’s Chief Minister</w:t>
            </w:r>
            <w:r>
              <w:rPr>
                <w:lang w:eastAsia="en-GB"/>
              </w:rPr>
              <w:t>.</w:t>
            </w:r>
          </w:p>
        </w:tc>
      </w:tr>
      <w:tr w:rsidR="00A07B51" w:rsidRPr="002B4ED0" w14:paraId="17D726D6" w14:textId="77777777" w:rsidTr="00BD3308">
        <w:trPr>
          <w:cantSplit/>
          <w:trHeight w:val="400"/>
        </w:trPr>
        <w:tc>
          <w:tcPr>
            <w:tcW w:w="332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6623ADB3" w14:textId="77777777" w:rsidR="00A07B51" w:rsidRDefault="00A07B51" w:rsidP="00BD3308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</w:t>
            </w:r>
          </w:p>
        </w:tc>
        <w:tc>
          <w:tcPr>
            <w:tcW w:w="4668" w:type="pct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73828971" w14:textId="77777777" w:rsidR="0072348B" w:rsidRPr="00747D37" w:rsidRDefault="0072348B" w:rsidP="0072348B">
            <w:pPr>
              <w:pStyle w:val="Tabletext"/>
              <w:rPr>
                <w:b/>
              </w:rPr>
            </w:pPr>
            <w:r>
              <w:rPr>
                <w:b/>
              </w:rPr>
              <w:t xml:space="preserve">Key topic 2.2 </w:t>
            </w:r>
            <w:r w:rsidR="00ED3EC3">
              <w:rPr>
                <w:b/>
              </w:rPr>
              <w:t>T</w:t>
            </w:r>
            <w:r w:rsidRPr="00747D37">
              <w:rPr>
                <w:b/>
              </w:rPr>
              <w:t>he king’s</w:t>
            </w:r>
            <w:r>
              <w:rPr>
                <w:b/>
              </w:rPr>
              <w:t xml:space="preserve"> </w:t>
            </w:r>
            <w:r w:rsidRPr="00747D37">
              <w:rPr>
                <w:b/>
              </w:rPr>
              <w:t>marriages</w:t>
            </w:r>
          </w:p>
          <w:p w14:paraId="71DFA411" w14:textId="77777777" w:rsidR="0072348B" w:rsidRPr="00BF7EC0" w:rsidRDefault="0072348B" w:rsidP="0072348B">
            <w:pPr>
              <w:pStyle w:val="Tabletextbullets"/>
              <w:rPr>
                <w:lang w:eastAsia="en-GB"/>
              </w:rPr>
            </w:pPr>
            <w:r w:rsidRPr="00BF7EC0">
              <w:rPr>
                <w:lang w:eastAsia="en-GB"/>
              </w:rPr>
              <w:t>Reasons for the fall of Anne Boleyn, including the role of Cromwell.</w:t>
            </w:r>
          </w:p>
          <w:p w14:paraId="2BA60F4C" w14:textId="77777777" w:rsidR="0072348B" w:rsidRDefault="00ED3EC3" w:rsidP="0072348B">
            <w:pPr>
              <w:pStyle w:val="Tabletextbullets"/>
            </w:pPr>
            <w:r>
              <w:rPr>
                <w:lang w:eastAsia="en-GB"/>
              </w:rPr>
              <w:t xml:space="preserve">Reasons for marriage to </w:t>
            </w:r>
            <w:r w:rsidR="0072348B" w:rsidRPr="00BF7EC0">
              <w:rPr>
                <w:lang w:eastAsia="en-GB"/>
              </w:rPr>
              <w:t xml:space="preserve">Jane Seymour: </w:t>
            </w:r>
            <w:r>
              <w:rPr>
                <w:lang w:eastAsia="en-GB"/>
              </w:rPr>
              <w:t>her</w:t>
            </w:r>
            <w:r w:rsidR="0072348B" w:rsidRPr="00BF7EC0">
              <w:rPr>
                <w:lang w:eastAsia="en-GB"/>
              </w:rPr>
              <w:t xml:space="preserve"> influence</w:t>
            </w:r>
            <w:r>
              <w:rPr>
                <w:lang w:eastAsia="en-GB"/>
              </w:rPr>
              <w:t>, heir and death</w:t>
            </w:r>
            <w:r w:rsidR="0072348B" w:rsidRPr="00BF7EC0">
              <w:rPr>
                <w:lang w:eastAsia="en-GB"/>
              </w:rPr>
              <w:t>.</w:t>
            </w:r>
          </w:p>
          <w:p w14:paraId="1CA59879" w14:textId="77777777" w:rsidR="00ED3EC3" w:rsidRPr="00FA673B" w:rsidRDefault="00ED3EC3" w:rsidP="0072348B">
            <w:pPr>
              <w:pStyle w:val="Tabletextbullets"/>
            </w:pPr>
            <w:r>
              <w:t>Reasons for marriage to Anne of Cleves.</w:t>
            </w:r>
          </w:p>
        </w:tc>
      </w:tr>
      <w:tr w:rsidR="00A07B51" w:rsidRPr="002B4ED0" w14:paraId="45D3CD1A" w14:textId="77777777" w:rsidTr="00BD3308">
        <w:trPr>
          <w:cantSplit/>
          <w:trHeight w:val="400"/>
        </w:trPr>
        <w:tc>
          <w:tcPr>
            <w:tcW w:w="332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33F9A128" w14:textId="77777777" w:rsidR="00A07B51" w:rsidRDefault="00A07B51" w:rsidP="00BD3308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</w:p>
        </w:tc>
        <w:tc>
          <w:tcPr>
            <w:tcW w:w="4668" w:type="pct"/>
            <w:tcBorders>
              <w:top w:val="single" w:sz="4" w:space="0" w:color="999999"/>
              <w:bottom w:val="single" w:sz="4" w:space="0" w:color="999999"/>
            </w:tcBorders>
          </w:tcPr>
          <w:p w14:paraId="0AA844F7" w14:textId="77777777" w:rsidR="009300A3" w:rsidRPr="00A07B51" w:rsidRDefault="009300A3" w:rsidP="009300A3">
            <w:pPr>
              <w:pStyle w:val="Tabletext"/>
              <w:rPr>
                <w:b/>
              </w:rPr>
            </w:pPr>
            <w:r w:rsidRPr="00A07B51">
              <w:rPr>
                <w:b/>
              </w:rPr>
              <w:t xml:space="preserve">Key </w:t>
            </w:r>
            <w:r>
              <w:rPr>
                <w:b/>
              </w:rPr>
              <w:t>t</w:t>
            </w:r>
            <w:r w:rsidRPr="00A07B51">
              <w:rPr>
                <w:b/>
              </w:rPr>
              <w:t xml:space="preserve">opic 2.3 </w:t>
            </w:r>
            <w:r w:rsidRPr="00BF7EC0">
              <w:rPr>
                <w:b/>
              </w:rPr>
              <w:t>Cromwell and</w:t>
            </w:r>
            <w:r>
              <w:rPr>
                <w:b/>
              </w:rPr>
              <w:t xml:space="preserve"> </w:t>
            </w:r>
            <w:r w:rsidRPr="00BF7EC0">
              <w:rPr>
                <w:b/>
              </w:rPr>
              <w:t>government,</w:t>
            </w:r>
            <w:r>
              <w:rPr>
                <w:b/>
              </w:rPr>
              <w:t xml:space="preserve"> </w:t>
            </w:r>
            <w:r w:rsidRPr="00BF7EC0">
              <w:rPr>
                <w:b/>
              </w:rPr>
              <w:t>1534–40</w:t>
            </w:r>
          </w:p>
          <w:p w14:paraId="746A6B81" w14:textId="77777777" w:rsidR="009300A3" w:rsidRDefault="009300A3" w:rsidP="009300A3">
            <w:pPr>
              <w:pStyle w:val="Tabletextbullets"/>
              <w:rPr>
                <w:lang w:eastAsia="en-GB"/>
              </w:rPr>
            </w:pPr>
            <w:r>
              <w:rPr>
                <w:lang w:eastAsia="en-GB"/>
              </w:rPr>
              <w:t>Reform of government and royal finance.</w:t>
            </w:r>
          </w:p>
          <w:p w14:paraId="31AB2169" w14:textId="77777777" w:rsidR="009300A3" w:rsidRDefault="009300A3" w:rsidP="009300A3">
            <w:pPr>
              <w:pStyle w:val="Tabletextbullets"/>
              <w:rPr>
                <w:lang w:eastAsia="en-GB"/>
              </w:rPr>
            </w:pPr>
            <w:r>
              <w:rPr>
                <w:lang w:eastAsia="en-GB"/>
              </w:rPr>
              <w:t>The management and use of parliament.</w:t>
            </w:r>
          </w:p>
          <w:p w14:paraId="0D2D8234" w14:textId="77777777" w:rsidR="009300A3" w:rsidRDefault="009300A3" w:rsidP="009300A3">
            <w:pPr>
              <w:pStyle w:val="Tabletext"/>
              <w:rPr>
                <w:b/>
              </w:rPr>
            </w:pPr>
          </w:p>
          <w:p w14:paraId="25E8BC31" w14:textId="77777777" w:rsidR="009300A3" w:rsidRPr="00A07B51" w:rsidRDefault="009300A3" w:rsidP="009300A3">
            <w:pPr>
              <w:pStyle w:val="Tabletext"/>
              <w:rPr>
                <w:b/>
              </w:rPr>
            </w:pPr>
            <w:r w:rsidRPr="00A07B51">
              <w:rPr>
                <w:b/>
              </w:rPr>
              <w:t xml:space="preserve">Key </w:t>
            </w:r>
            <w:r>
              <w:rPr>
                <w:b/>
              </w:rPr>
              <w:t>t</w:t>
            </w:r>
            <w:r w:rsidRPr="00A07B51">
              <w:rPr>
                <w:b/>
              </w:rPr>
              <w:t xml:space="preserve">opic 2.4 </w:t>
            </w:r>
            <w:r w:rsidRPr="00BF7EC0">
              <w:rPr>
                <w:b/>
              </w:rPr>
              <w:t>The fall of</w:t>
            </w:r>
            <w:r>
              <w:rPr>
                <w:b/>
              </w:rPr>
              <w:t xml:space="preserve"> </w:t>
            </w:r>
            <w:r w:rsidRPr="00BF7EC0">
              <w:rPr>
                <w:b/>
              </w:rPr>
              <w:t>Cromwell</w:t>
            </w:r>
          </w:p>
          <w:p w14:paraId="6C885939" w14:textId="77777777" w:rsidR="00A07B51" w:rsidRPr="002541E7" w:rsidRDefault="009300A3" w:rsidP="009300A3">
            <w:pPr>
              <w:pStyle w:val="Tabletextbullets"/>
            </w:pPr>
            <w:r>
              <w:rPr>
                <w:lang w:eastAsia="en-GB"/>
              </w:rPr>
              <w:t>Reasons for Cromwell’s fall from power in 1540, including the influence of the Duke of Norfolk</w:t>
            </w:r>
            <w:r w:rsidR="00ED3EC3">
              <w:rPr>
                <w:lang w:eastAsia="en-GB"/>
              </w:rPr>
              <w:t xml:space="preserve"> and the failure of the marriage to Anne of Cleves</w:t>
            </w:r>
            <w:r>
              <w:rPr>
                <w:lang w:eastAsia="en-GB"/>
              </w:rPr>
              <w:t>.</w:t>
            </w:r>
          </w:p>
        </w:tc>
      </w:tr>
      <w:tr w:rsidR="00A07B51" w:rsidRPr="002B4ED0" w14:paraId="780BC231" w14:textId="77777777" w:rsidTr="00BD3308">
        <w:trPr>
          <w:cantSplit/>
          <w:trHeight w:val="77"/>
        </w:trPr>
        <w:tc>
          <w:tcPr>
            <w:tcW w:w="332" w:type="pct"/>
            <w:tcBorders>
              <w:top w:val="single" w:sz="4" w:space="0" w:color="999999"/>
            </w:tcBorders>
            <w:shd w:val="clear" w:color="auto" w:fill="auto"/>
          </w:tcPr>
          <w:p w14:paraId="69703FC6" w14:textId="77777777" w:rsidR="00A07B51" w:rsidRDefault="00A07B51" w:rsidP="00BD3308">
            <w:pPr>
              <w:pStyle w:val="textbullets"/>
              <w:numPr>
                <w:ilvl w:val="0"/>
                <w:numId w:val="0"/>
              </w:numPr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4668" w:type="pct"/>
            <w:tcBorders>
              <w:top w:val="single" w:sz="4" w:space="0" w:color="999999"/>
            </w:tcBorders>
          </w:tcPr>
          <w:p w14:paraId="124B8D43" w14:textId="77777777" w:rsidR="009300A3" w:rsidRPr="00520093" w:rsidRDefault="009300A3" w:rsidP="009300A3">
            <w:pPr>
              <w:pStyle w:val="Tabletext"/>
              <w:rPr>
                <w:b/>
              </w:rPr>
            </w:pPr>
            <w:r w:rsidRPr="00A07B51">
              <w:rPr>
                <w:b/>
              </w:rPr>
              <w:t xml:space="preserve">Key </w:t>
            </w:r>
            <w:r>
              <w:rPr>
                <w:b/>
              </w:rPr>
              <w:t>t</w:t>
            </w:r>
            <w:r w:rsidRPr="00A07B51">
              <w:rPr>
                <w:b/>
              </w:rPr>
              <w:t>opic 3.1</w:t>
            </w:r>
            <w:r w:rsidRPr="00520093">
              <w:rPr>
                <w:b/>
              </w:rPr>
              <w:t xml:space="preserve"> The break</w:t>
            </w:r>
            <w:r>
              <w:rPr>
                <w:b/>
              </w:rPr>
              <w:t xml:space="preserve"> </w:t>
            </w:r>
            <w:r w:rsidRPr="00520093">
              <w:rPr>
                <w:b/>
              </w:rPr>
              <w:t xml:space="preserve">with Rome </w:t>
            </w:r>
          </w:p>
          <w:p w14:paraId="77770041" w14:textId="77777777" w:rsidR="009300A3" w:rsidRPr="00520093" w:rsidRDefault="009300A3" w:rsidP="009300A3">
            <w:pPr>
              <w:pStyle w:val="Tabletextbullets"/>
              <w:rPr>
                <w:lang w:eastAsia="en-GB"/>
              </w:rPr>
            </w:pPr>
            <w:r w:rsidRPr="00520093">
              <w:rPr>
                <w:lang w:eastAsia="en-GB"/>
              </w:rPr>
              <w:t>Henry as ‘Defender of the Faith’. Reasons for Henry’s campaign</w:t>
            </w:r>
            <w:r>
              <w:rPr>
                <w:lang w:eastAsia="en-GB"/>
              </w:rPr>
              <w:t xml:space="preserve"> </w:t>
            </w:r>
            <w:r w:rsidRPr="00520093">
              <w:rPr>
                <w:lang w:eastAsia="en-GB"/>
              </w:rPr>
              <w:t>against the Pope and the Catholic Church, 1529–33.</w:t>
            </w:r>
          </w:p>
          <w:p w14:paraId="2B51B14E" w14:textId="77777777" w:rsidR="00A07B51" w:rsidRDefault="009300A3" w:rsidP="009300A3">
            <w:pPr>
              <w:pStyle w:val="Tabletextbullets"/>
            </w:pPr>
            <w:r w:rsidRPr="00520093">
              <w:rPr>
                <w:lang w:eastAsia="en-GB"/>
              </w:rPr>
              <w:t>The significance of the Act of Succession and the Act of</w:t>
            </w:r>
            <w:r>
              <w:rPr>
                <w:lang w:eastAsia="en-GB"/>
              </w:rPr>
              <w:t xml:space="preserve"> </w:t>
            </w:r>
            <w:r w:rsidRPr="00520093">
              <w:rPr>
                <w:lang w:eastAsia="en-GB"/>
              </w:rPr>
              <w:t xml:space="preserve">Supremacy </w:t>
            </w:r>
            <w:r w:rsidR="00563D47">
              <w:rPr>
                <w:lang w:eastAsia="en-GB"/>
              </w:rPr>
              <w:t>(</w:t>
            </w:r>
            <w:r w:rsidRPr="00520093">
              <w:rPr>
                <w:lang w:eastAsia="en-GB"/>
              </w:rPr>
              <w:t>1534</w:t>
            </w:r>
            <w:r w:rsidR="00563D47">
              <w:rPr>
                <w:lang w:eastAsia="en-GB"/>
              </w:rPr>
              <w:t>)</w:t>
            </w:r>
            <w:r w:rsidR="00ED3EC3">
              <w:rPr>
                <w:lang w:eastAsia="en-GB"/>
              </w:rPr>
              <w:t xml:space="preserve"> for the break with Rome</w:t>
            </w:r>
            <w:r w:rsidRPr="00520093">
              <w:rPr>
                <w:lang w:eastAsia="en-GB"/>
              </w:rPr>
              <w:t>. Cromwell’s role in their enforcement, including</w:t>
            </w:r>
            <w:r>
              <w:rPr>
                <w:lang w:eastAsia="en-GB"/>
              </w:rPr>
              <w:t xml:space="preserve"> </w:t>
            </w:r>
            <w:r w:rsidRPr="00520093">
              <w:rPr>
                <w:lang w:eastAsia="en-GB"/>
              </w:rPr>
              <w:t>the use of oaths and treason laws.</w:t>
            </w:r>
          </w:p>
        </w:tc>
      </w:tr>
      <w:tr w:rsidR="00A07B51" w:rsidRPr="002B4ED0" w14:paraId="1C0C6F56" w14:textId="77777777" w:rsidTr="00BD3308">
        <w:trPr>
          <w:cantSplit/>
          <w:trHeight w:val="400"/>
        </w:trPr>
        <w:tc>
          <w:tcPr>
            <w:tcW w:w="332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7625CF3A" w14:textId="77777777" w:rsidR="00A07B51" w:rsidRDefault="00A07B51" w:rsidP="00BD3308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</w:t>
            </w:r>
          </w:p>
        </w:tc>
        <w:tc>
          <w:tcPr>
            <w:tcW w:w="4668" w:type="pct"/>
            <w:tcBorders>
              <w:top w:val="single" w:sz="4" w:space="0" w:color="999999"/>
              <w:bottom w:val="single" w:sz="4" w:space="0" w:color="999999"/>
            </w:tcBorders>
          </w:tcPr>
          <w:p w14:paraId="238BE6F9" w14:textId="77777777" w:rsidR="009300A3" w:rsidRPr="00520093" w:rsidRDefault="009300A3" w:rsidP="009300A3">
            <w:pPr>
              <w:pStyle w:val="Tabletext"/>
              <w:rPr>
                <w:b/>
              </w:rPr>
            </w:pPr>
            <w:r w:rsidRPr="00A07B51">
              <w:rPr>
                <w:b/>
              </w:rPr>
              <w:t xml:space="preserve">Key </w:t>
            </w:r>
            <w:r>
              <w:rPr>
                <w:b/>
              </w:rPr>
              <w:t>t</w:t>
            </w:r>
            <w:r w:rsidRPr="00A07B51">
              <w:rPr>
                <w:b/>
              </w:rPr>
              <w:t xml:space="preserve">opic 3.2 </w:t>
            </w:r>
            <w:r w:rsidRPr="00520093">
              <w:rPr>
                <w:b/>
              </w:rPr>
              <w:t>Opposition to,</w:t>
            </w:r>
            <w:r>
              <w:rPr>
                <w:b/>
              </w:rPr>
              <w:t xml:space="preserve"> </w:t>
            </w:r>
            <w:r w:rsidRPr="00520093">
              <w:rPr>
                <w:b/>
              </w:rPr>
              <w:t>and impact of,</w:t>
            </w:r>
            <w:r>
              <w:rPr>
                <w:b/>
              </w:rPr>
              <w:t xml:space="preserve"> </w:t>
            </w:r>
            <w:r w:rsidRPr="00520093">
              <w:rPr>
                <w:b/>
              </w:rPr>
              <w:t>Reformation,</w:t>
            </w:r>
            <w:r>
              <w:rPr>
                <w:b/>
              </w:rPr>
              <w:t xml:space="preserve"> </w:t>
            </w:r>
            <w:r w:rsidRPr="00520093">
              <w:rPr>
                <w:b/>
              </w:rPr>
              <w:t>1534–40</w:t>
            </w:r>
          </w:p>
          <w:p w14:paraId="49289E85" w14:textId="77777777" w:rsidR="009300A3" w:rsidRDefault="009300A3" w:rsidP="009300A3">
            <w:pPr>
              <w:pStyle w:val="Tabletextbullets"/>
              <w:rPr>
                <w:lang w:eastAsia="en-GB"/>
              </w:rPr>
            </w:pPr>
            <w:r>
              <w:rPr>
                <w:lang w:eastAsia="en-GB"/>
              </w:rPr>
              <w:t>Elizabeth Barton (the Nun of Kent) and John Fisher.</w:t>
            </w:r>
          </w:p>
          <w:p w14:paraId="365639C5" w14:textId="77777777" w:rsidR="009300A3" w:rsidRDefault="009300A3" w:rsidP="009300A3">
            <w:pPr>
              <w:pStyle w:val="Tabletextbullets"/>
              <w:rPr>
                <w:lang w:eastAsia="en-GB"/>
              </w:rPr>
            </w:pPr>
            <w:r>
              <w:rPr>
                <w:lang w:eastAsia="en-GB"/>
              </w:rPr>
              <w:t>The significance of opposition from Thomas More.</w:t>
            </w:r>
          </w:p>
          <w:p w14:paraId="24F31229" w14:textId="77777777" w:rsidR="00A07B51" w:rsidRPr="002541E7" w:rsidRDefault="009300A3" w:rsidP="009300A3">
            <w:pPr>
              <w:pStyle w:val="Tabletextbullets"/>
            </w:pPr>
            <w:r>
              <w:rPr>
                <w:lang w:eastAsia="en-GB"/>
              </w:rPr>
              <w:t>Impact of the Reformation on the English Church, including the work of Thomas Cranmer and the influence of Thomas Cromwell.</w:t>
            </w:r>
          </w:p>
        </w:tc>
      </w:tr>
      <w:tr w:rsidR="00A07B51" w:rsidRPr="002B4ED0" w14:paraId="7556AE3E" w14:textId="77777777" w:rsidTr="00BD3308">
        <w:trPr>
          <w:cantSplit/>
          <w:trHeight w:val="400"/>
        </w:trPr>
        <w:tc>
          <w:tcPr>
            <w:tcW w:w="332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2417F1D0" w14:textId="77777777" w:rsidR="00A07B51" w:rsidRDefault="00A07B51" w:rsidP="00BD3308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10</w:t>
            </w:r>
          </w:p>
        </w:tc>
        <w:tc>
          <w:tcPr>
            <w:tcW w:w="4668" w:type="pct"/>
            <w:tcBorders>
              <w:top w:val="single" w:sz="4" w:space="0" w:color="999999"/>
              <w:bottom w:val="single" w:sz="4" w:space="0" w:color="999999"/>
            </w:tcBorders>
          </w:tcPr>
          <w:p w14:paraId="45A47B8C" w14:textId="77777777" w:rsidR="00A07B51" w:rsidRPr="00A07B51" w:rsidRDefault="00A07B51" w:rsidP="004F2463">
            <w:pPr>
              <w:pStyle w:val="Tabletext"/>
              <w:rPr>
                <w:b/>
              </w:rPr>
            </w:pPr>
            <w:r w:rsidRPr="00A07B51">
              <w:rPr>
                <w:b/>
              </w:rPr>
              <w:t xml:space="preserve">Key </w:t>
            </w:r>
            <w:r w:rsidR="00C843D1">
              <w:rPr>
                <w:b/>
              </w:rPr>
              <w:t>t</w:t>
            </w:r>
            <w:r w:rsidR="00C843D1" w:rsidRPr="00A07B51">
              <w:rPr>
                <w:b/>
              </w:rPr>
              <w:t xml:space="preserve">opic </w:t>
            </w:r>
            <w:r w:rsidRPr="00A07B51">
              <w:rPr>
                <w:b/>
              </w:rPr>
              <w:t xml:space="preserve">3.3 </w:t>
            </w:r>
            <w:r w:rsidR="004F2463" w:rsidRPr="00520093">
              <w:rPr>
                <w:b/>
              </w:rPr>
              <w:t>The</w:t>
            </w:r>
            <w:r w:rsidR="00520093">
              <w:rPr>
                <w:b/>
              </w:rPr>
              <w:t xml:space="preserve"> </w:t>
            </w:r>
            <w:r w:rsidR="004F2463" w:rsidRPr="00520093">
              <w:rPr>
                <w:b/>
              </w:rPr>
              <w:t>dissolution of</w:t>
            </w:r>
            <w:r w:rsidR="00520093">
              <w:rPr>
                <w:b/>
              </w:rPr>
              <w:t xml:space="preserve"> </w:t>
            </w:r>
            <w:r w:rsidR="004F2463" w:rsidRPr="00520093">
              <w:rPr>
                <w:b/>
              </w:rPr>
              <w:t>the</w:t>
            </w:r>
            <w:r w:rsidR="00520093">
              <w:rPr>
                <w:b/>
              </w:rPr>
              <w:t xml:space="preserve"> </w:t>
            </w:r>
            <w:r w:rsidR="004F2463" w:rsidRPr="00520093">
              <w:rPr>
                <w:b/>
              </w:rPr>
              <w:t>monasteries</w:t>
            </w:r>
          </w:p>
          <w:p w14:paraId="52249289" w14:textId="77777777" w:rsidR="004F2463" w:rsidRDefault="004F2463" w:rsidP="00520093">
            <w:pPr>
              <w:pStyle w:val="Tabletextbullets"/>
              <w:rPr>
                <w:lang w:eastAsia="en-GB"/>
              </w:rPr>
            </w:pPr>
            <w:r>
              <w:rPr>
                <w:lang w:eastAsia="en-GB"/>
              </w:rPr>
              <w:t>The role of religious houses in local communities.</w:t>
            </w:r>
          </w:p>
          <w:p w14:paraId="60166217" w14:textId="77777777" w:rsidR="004F2463" w:rsidRDefault="004F2463" w:rsidP="00520093">
            <w:pPr>
              <w:pStyle w:val="Tabletextbullets"/>
              <w:rPr>
                <w:lang w:eastAsia="en-GB"/>
              </w:rPr>
            </w:pPr>
            <w:r>
              <w:rPr>
                <w:lang w:eastAsia="en-GB"/>
              </w:rPr>
              <w:t>Reasons for the dissolutions, including the findings of Cromwell’s</w:t>
            </w:r>
            <w:r w:rsidR="00520093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>commissions of 1535.</w:t>
            </w:r>
          </w:p>
          <w:p w14:paraId="55BE01C4" w14:textId="77777777" w:rsidR="00A07B51" w:rsidRPr="002541E7" w:rsidRDefault="004F2463" w:rsidP="00520093">
            <w:pPr>
              <w:pStyle w:val="Tabletextbullets"/>
            </w:pPr>
            <w:r>
              <w:rPr>
                <w:lang w:eastAsia="en-GB"/>
              </w:rPr>
              <w:t>The impact of the dissolutions. Beneficiaries and losers.</w:t>
            </w:r>
            <w:r w:rsidR="00A07B51">
              <w:t xml:space="preserve"> </w:t>
            </w:r>
          </w:p>
        </w:tc>
      </w:tr>
      <w:tr w:rsidR="00A07B51" w:rsidRPr="002B4ED0" w14:paraId="3781AC2C" w14:textId="77777777" w:rsidTr="00BD3308">
        <w:trPr>
          <w:cantSplit/>
          <w:trHeight w:val="562"/>
        </w:trPr>
        <w:tc>
          <w:tcPr>
            <w:tcW w:w="332" w:type="pct"/>
            <w:tcBorders>
              <w:top w:val="single" w:sz="4" w:space="0" w:color="999999"/>
            </w:tcBorders>
            <w:shd w:val="clear" w:color="auto" w:fill="auto"/>
          </w:tcPr>
          <w:p w14:paraId="19676BE6" w14:textId="77777777" w:rsidR="00A07B51" w:rsidRDefault="00A07B51" w:rsidP="00BD3308">
            <w:pPr>
              <w:pStyle w:val="textbullets"/>
              <w:numPr>
                <w:ilvl w:val="0"/>
                <w:numId w:val="0"/>
              </w:numPr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</w:t>
            </w:r>
          </w:p>
        </w:tc>
        <w:tc>
          <w:tcPr>
            <w:tcW w:w="4668" w:type="pct"/>
            <w:tcBorders>
              <w:top w:val="single" w:sz="4" w:space="0" w:color="999999"/>
            </w:tcBorders>
          </w:tcPr>
          <w:p w14:paraId="2FA31545" w14:textId="77777777" w:rsidR="00A07B51" w:rsidRPr="00A07B51" w:rsidRDefault="00A07B51" w:rsidP="00520093">
            <w:pPr>
              <w:pStyle w:val="Tabletext"/>
              <w:rPr>
                <w:b/>
              </w:rPr>
            </w:pPr>
            <w:r w:rsidRPr="00A07B51">
              <w:rPr>
                <w:b/>
              </w:rPr>
              <w:t xml:space="preserve">Key </w:t>
            </w:r>
            <w:r w:rsidR="00C843D1">
              <w:rPr>
                <w:b/>
              </w:rPr>
              <w:t>t</w:t>
            </w:r>
            <w:r w:rsidRPr="00A07B51">
              <w:rPr>
                <w:b/>
              </w:rPr>
              <w:t xml:space="preserve">opic 3.4 </w:t>
            </w:r>
            <w:r w:rsidR="004F2463" w:rsidRPr="00520093">
              <w:rPr>
                <w:b/>
              </w:rPr>
              <w:t>The</w:t>
            </w:r>
            <w:r w:rsidR="00921ED8">
              <w:rPr>
                <w:b/>
              </w:rPr>
              <w:t xml:space="preserve"> </w:t>
            </w:r>
            <w:r w:rsidR="004F2463" w:rsidRPr="00520093">
              <w:rPr>
                <w:b/>
              </w:rPr>
              <w:t>Pilgrimage of</w:t>
            </w:r>
            <w:r w:rsidR="00921ED8">
              <w:rPr>
                <w:b/>
              </w:rPr>
              <w:t xml:space="preserve"> </w:t>
            </w:r>
            <w:r w:rsidR="004F2463" w:rsidRPr="00520093">
              <w:rPr>
                <w:b/>
              </w:rPr>
              <w:t>Grace, 1536</w:t>
            </w:r>
          </w:p>
          <w:p w14:paraId="1E73D32E" w14:textId="77777777" w:rsidR="004F2463" w:rsidRDefault="004F2463" w:rsidP="00921ED8">
            <w:pPr>
              <w:pStyle w:val="Tabletextbullets"/>
              <w:rPr>
                <w:lang w:eastAsia="en-GB"/>
              </w:rPr>
            </w:pPr>
            <w:r>
              <w:rPr>
                <w:lang w:eastAsia="en-GB"/>
              </w:rPr>
              <w:t>Reasons for the uprising.</w:t>
            </w:r>
          </w:p>
          <w:p w14:paraId="5C7960C1" w14:textId="77777777" w:rsidR="00A07B51" w:rsidRPr="002541E7" w:rsidRDefault="004F2463" w:rsidP="00ED3EC3">
            <w:pPr>
              <w:pStyle w:val="Tabletextbullets"/>
            </w:pPr>
            <w:r>
              <w:rPr>
                <w:lang w:eastAsia="en-GB"/>
              </w:rPr>
              <w:t>Key events of the uprising, including rebellions in Lincolnshire and</w:t>
            </w:r>
            <w:r w:rsidR="00921ED8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>Yorkshire and the roles of Robert Aske and the Duke of Norfolk.</w:t>
            </w:r>
          </w:p>
        </w:tc>
      </w:tr>
      <w:tr w:rsidR="00A07B51" w:rsidRPr="002B4ED0" w14:paraId="7F361A31" w14:textId="77777777" w:rsidTr="00BD3308">
        <w:trPr>
          <w:cantSplit/>
          <w:trHeight w:val="400"/>
        </w:trPr>
        <w:tc>
          <w:tcPr>
            <w:tcW w:w="332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04B6E895" w14:textId="77777777" w:rsidR="00A07B51" w:rsidRDefault="00A07B51" w:rsidP="00BD3308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</w:t>
            </w:r>
          </w:p>
        </w:tc>
        <w:tc>
          <w:tcPr>
            <w:tcW w:w="4668" w:type="pct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78055260" w14:textId="77777777" w:rsidR="00A07B51" w:rsidRPr="0082429A" w:rsidRDefault="00A07B51" w:rsidP="004F2463">
            <w:pPr>
              <w:pStyle w:val="Tabletextbullets"/>
              <w:rPr>
                <w:i/>
              </w:rPr>
            </w:pPr>
            <w:r w:rsidRPr="0082429A">
              <w:rPr>
                <w:i/>
              </w:rPr>
              <w:t xml:space="preserve">Review and assessment of </w:t>
            </w:r>
            <w:r w:rsidR="004F2463">
              <w:rPr>
                <w:i/>
              </w:rPr>
              <w:t>Henry VIII and his ministers, 1509–40</w:t>
            </w:r>
            <w:r w:rsidR="00C843D1" w:rsidRPr="0082429A">
              <w:rPr>
                <w:i/>
              </w:rPr>
              <w:t>.</w:t>
            </w:r>
          </w:p>
        </w:tc>
      </w:tr>
    </w:tbl>
    <w:p w14:paraId="5997CA9A" w14:textId="77777777" w:rsidR="004F15B2" w:rsidRDefault="004F15B2" w:rsidP="00A07B51">
      <w:pPr>
        <w:pStyle w:val="text"/>
        <w:ind w:left="0"/>
      </w:pPr>
    </w:p>
    <w:sectPr w:rsidR="004F15B2" w:rsidSect="00316446">
      <w:headerReference w:type="even" r:id="rId17"/>
      <w:headerReference w:type="default" r:id="rId18"/>
      <w:pgSz w:w="16840" w:h="11900" w:orient="landscape" w:code="9"/>
      <w:pgMar w:top="1418" w:right="1418" w:bottom="1418" w:left="1134" w:header="567" w:footer="567" w:gutter="0"/>
      <w:cols w:space="708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61">
      <wne:acd wne:acdName="acd0"/>
    </wne:keymap>
    <wne:keymap wne:kcmPrimary="0262">
      <wne:acd wne:acdName="acd4"/>
    </wne:keymap>
    <wne:keymap wne:kcmPrimary="0263">
      <wne:acd wne:acdName="acd7"/>
    </wne:keymap>
    <wne:keymap wne:kcmPrimary="0264">
      <wne:acd wne:acdName="acd36"/>
    </wne:keymap>
    <wne:keymap wne:kcmPrimary="0265">
      <wne:acd wne:acdName="acd37"/>
    </wne:keymap>
    <wne:keymap wne:kcmPrimary="0266">
      <wne:acd wne:acdName="acd20"/>
    </wne:keymap>
    <wne:keymap wne:kcmPrimary="0267">
      <wne:acd wne:acdName="acd29"/>
    </wne:keymap>
    <wne:keymap wne:kcmPrimary="0268">
      <wne:acd wne:acdName="acd23"/>
    </wne:keymap>
    <wne:keymap wne:kcmPrimary="02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" wne:acdName="acd2" wne:fciIndexBasedOn="0065"/>
    <wne:acd wne:argValue="" wne:acdName="acd3" wne:fciIndexBasedOn="0065"/>
    <wne:acd wne:argValue="AgBCACAAaABlAGEAZAA=" wne:acdName="acd4" wne:fciIndexBasedOn="0065"/>
    <wne:acd wne:acdName="acd5" wne:fciIndexBasedOn="0065"/>
    <wne:acd wne:acdName="acd6" wne:fciIndexBasedOn="0065"/>
    <wne:acd wne:argValue="AgBDACAAaABlAGEAZAA=" wne:acdName="acd7" wne:fciIndexBasedOn="0065"/>
    <wne:acd wne:argValue="" wne:acdName="acd8" wne:fciIndexBasedOn="0065"/>
    <wne:acd wne:argValue="AgBDAHIAbwBzAHMAIAByAGUAZgBlAHIAZQBuAGMAZQA=" wne:acdName="acd9" wne:fciIndexBasedOn="0065"/>
    <wne:acd wne:argValue="AgBGAGUAYQB0AHUAcgBlACAAMQAgAGgAZQBhAGQA" wne:acdName="acd10" wne:fciIndexBasedOn="0065"/>
    <wne:acd wne:argValue="AgBGAGUAYQB0AHUAcgBlACAAMQAgAHMAdQBiAC0AaABlAGEAZAA=" wne:acdName="acd11" wne:fciIndexBasedOn="0065"/>
    <wne:acd wne:argValue="AgBGAGUAYQB0AHUAcgBlACAAMQAgAHQAZQB4AHQA"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GAGUAYQB0AHUAcgBlACAAMgAgAGgAZQBhAGQA" wne:acdName="acd15" wne:fciIndexBasedOn="0065"/>
    <wne:acd wne:argValue="AgBGAGUAYQB0AHUAcgBlACAAMgAgAHMAdQBiAC0AaABlAGEAZAA=" wne:acdName="acd16" wne:fciIndexBasedOn="0065"/>
    <wne:acd wne:argValue="AgBGAGUAYQB0AHUAcgBlACAAMgAgAHQAZQB4AHQA" wne:acdName="acd17" wne:fciIndexBasedOn="0065"/>
    <wne:acd wne:argValue="AgBGAGUAYQB0AHUAcgBlACAAMgAgAHQAZQB4AHQAIABiAHUAbABsAGUAdABzAA==" wne:acdName="acd18" wne:fciIndexBasedOn="0065"/>
    <wne:acd wne:argValue="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UAGUAeAB0ACAAbwBuACAAdwByAGkAdABpAG4AZwAgAGwAaQBuAGUA" wne:acdName="acd25" wne:fciIndexBasedOn="0065"/>
    <wne:acd wne:argValue="AgBVAG4AaQB0ACAAaABlAGEAZAA=" wne:acdName="acd26" wne:fciIndexBasedOn="0065"/>
    <wne:acd wne:argValue="AgBBAGwAcABoAGEAIABsAGkAcwB0AA==" wne:acdName="acd27" wne:fciIndexBasedOn="0065"/>
    <wne:acd wne:argValue="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UAGEAYgBsAGUAIAA0AA==" wne:acdName="acd33" wne:fciIndexBasedOn="0065"/>
    <wne:acd wne:argValue="" wne:acdName="acd34" wne:fciIndexBasedOn="0065"/>
    <wne:acd wne:argValue="AgBGAGUAYQB0AHUAcgBlACAAMgAgAHQAZQB4AHQAIABuAHUAbQBiAGUAcgBlAGQAIABsAGkAcwB0&#10;AA==" wne:acdName="acd35" wne:fciIndexBasedOn="0065"/>
    <wne:acd wne:argValue="AgB0AGUAeAB0AA==" wne:acdName="acd36" wne:fciIndexBasedOn="0065"/>
    <wne:acd wne:argValue="AgB0AGUAeAB0ACAAYgB1AGwAbABlAHQAcwA=" wne:acdName="acd37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259BA" w14:textId="77777777" w:rsidR="000217E9" w:rsidRDefault="000217E9">
      <w:r>
        <w:separator/>
      </w:r>
    </w:p>
  </w:endnote>
  <w:endnote w:type="continuationSeparator" w:id="0">
    <w:p w14:paraId="30C76CED" w14:textId="77777777" w:rsidR="000217E9" w:rsidRDefault="00021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yriad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 Pro Light">
    <w:altName w:val="Myriad Pro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 Bold">
    <w:altName w:val="Verdana"/>
    <w:panose1 w:val="020B080403050404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7BA99" w14:textId="77777777" w:rsidR="000B7DAE" w:rsidRDefault="00B34040">
    <w:pPr>
      <w:pStyle w:val="Footer"/>
    </w:pPr>
    <w:r>
      <w:rPr>
        <w:noProof/>
        <w:lang w:eastAsia="en-GB"/>
      </w:rPr>
      <w:pict w14:anchorId="092A879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left:0;text-align:left;margin-left:-43.15pt;margin-top:-21.75pt;width:813.55pt;height:40pt;z-index:251658240;mso-wrap-edited:f">
          <v:imagedata r:id="rId1" o:title="GCSE landscape bottom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048D4" w14:textId="77777777" w:rsidR="000B7DAE" w:rsidRDefault="00B34040" w:rsidP="00AD16DA">
    <w:r>
      <w:rPr>
        <w:noProof/>
        <w:lang w:eastAsia="en-GB"/>
      </w:rPr>
      <w:pict w14:anchorId="73BB694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margin-left:-42.25pt;margin-top:-21.25pt;width:813.55pt;height:40pt;z-index:251657216;mso-wrap-edited:f">
          <v:imagedata r:id="rId1" o:title="GCSE landscape bottom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A6697" w14:textId="77777777" w:rsidR="007A42F4" w:rsidRDefault="004C625C" w:rsidP="007A42F4">
    <w:pPr>
      <w:pStyle w:val="Footer"/>
    </w:pPr>
    <w:r>
      <w:t xml:space="preserve">Issue </w:t>
    </w:r>
    <w:r w:rsidR="00ED3EC3">
      <w:t>3</w:t>
    </w:r>
    <w:r>
      <w:t xml:space="preserve"> </w:t>
    </w:r>
    <w:r w:rsidR="007A42F4">
      <w:t xml:space="preserve">© Pearson </w:t>
    </w:r>
    <w:r>
      <w:t xml:space="preserve">Education Ltd </w:t>
    </w:r>
    <w:r w:rsidR="007A42F4">
      <w:t>20</w:t>
    </w:r>
    <w:r>
      <w:t>2</w:t>
    </w:r>
    <w:r w:rsidR="00ED3EC3">
      <w:t>4</w:t>
    </w:r>
  </w:p>
  <w:p w14:paraId="10DE92D0" w14:textId="77777777" w:rsidR="007A42F4" w:rsidRDefault="007A42F4" w:rsidP="007A42F4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F0BC6">
      <w:rPr>
        <w:noProof/>
      </w:rPr>
      <w:t>4</w:t>
    </w:r>
    <w:r>
      <w:fldChar w:fldCharType="end"/>
    </w:r>
  </w:p>
  <w:p w14:paraId="45B2F507" w14:textId="77777777" w:rsidR="002C1463" w:rsidRDefault="002C146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2163C" w14:textId="77777777" w:rsidR="007A42F4" w:rsidRDefault="00796955" w:rsidP="007A42F4">
    <w:pPr>
      <w:pStyle w:val="Footer"/>
    </w:pPr>
    <w:r>
      <w:t>Issue 2 © Pearson Education Ltd 202</w:t>
    </w:r>
    <w:r w:rsidR="00C85469">
      <w:t>1</w:t>
    </w:r>
  </w:p>
  <w:p w14:paraId="13ABB951" w14:textId="77777777" w:rsidR="007A42F4" w:rsidRDefault="007A42F4" w:rsidP="007A42F4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F0BC6">
      <w:rPr>
        <w:noProof/>
      </w:rPr>
      <w:t>1</w:t>
    </w:r>
    <w:r>
      <w:fldChar w:fldCharType="end"/>
    </w:r>
  </w:p>
  <w:p w14:paraId="3DF110C6" w14:textId="77777777" w:rsidR="002C1463" w:rsidRDefault="002C1463" w:rsidP="007A42F4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9ABBE" w14:textId="77777777" w:rsidR="000217E9" w:rsidRDefault="000217E9">
      <w:r>
        <w:separator/>
      </w:r>
    </w:p>
  </w:footnote>
  <w:footnote w:type="continuationSeparator" w:id="0">
    <w:p w14:paraId="0D9E4061" w14:textId="77777777" w:rsidR="000217E9" w:rsidRDefault="000217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DDF69" w14:textId="77777777" w:rsidR="000B7DAE" w:rsidRDefault="00B34040">
    <w:pPr>
      <w:pStyle w:val="Header"/>
    </w:pPr>
    <w:r>
      <w:rPr>
        <w:noProof/>
      </w:rPr>
      <w:pict w14:anchorId="7ED9EB7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left:0;text-align:left;margin-left:-56.7pt;margin-top:-28.25pt;width:845pt;height:596.4pt;z-index:-251657216;mso-wrap-edited:f">
          <v:imagedata r:id="rId1" o:title="GCSE_History_L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635B8" w14:textId="77777777" w:rsidR="000B7DAE" w:rsidRDefault="00B34040">
    <w:pPr>
      <w:pStyle w:val="Header"/>
    </w:pPr>
    <w:r>
      <w:rPr>
        <w:noProof/>
        <w:lang w:eastAsia="en-GB"/>
      </w:rPr>
      <w:pict w14:anchorId="3F9FE25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0;margin-top:0;width:841.9pt;height:595.7pt;z-index:251656192;mso-wrap-edited:f;mso-position-horizontal:left;mso-position-horizontal-relative:page;mso-position-vertical:top;mso-position-vertical-relative:page">
          <v:imagedata r:id="rId1" o:title="GCSE_FrenchLscapeFCwDraftStamp"/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3CE9E" w14:textId="77777777" w:rsidR="002C1463" w:rsidRDefault="00B34040" w:rsidP="00007504">
    <w:pPr>
      <w:pStyle w:val="IconRight"/>
      <w:framePr w:wrap="around"/>
    </w:pPr>
    <w:r>
      <w:rPr>
        <w:noProof/>
      </w:rPr>
      <w:pict w14:anchorId="77C235F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7.5pt;height:43pt;mso-position-horizontal-relative:page;mso-position-vertical-relative:page" o:allowoverlap="f">
          <v:imagedata r:id="rId1" o:title="LFABF_Green_Logo"/>
        </v:shape>
      </w:pict>
    </w:r>
  </w:p>
  <w:p w14:paraId="1A4A69C1" w14:textId="77777777" w:rsidR="002C1463" w:rsidRDefault="002C1463" w:rsidP="0000750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59E41" w14:textId="77777777" w:rsidR="002C1463" w:rsidRDefault="002C1463" w:rsidP="00007504">
    <w:pPr>
      <w:pStyle w:val="Icon"/>
      <w:framePr w:wrap="around"/>
    </w:pPr>
  </w:p>
  <w:p w14:paraId="2B14DB70" w14:textId="77777777" w:rsidR="002C1463" w:rsidRDefault="002C1463" w:rsidP="00007504">
    <w:pPr>
      <w:pStyle w:val="HeaderOdd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A5323" w14:textId="77777777" w:rsidR="002C1463" w:rsidRDefault="002C1463" w:rsidP="00007504">
    <w:pPr>
      <w:pStyle w:val="IconRight"/>
      <w:framePr w:wrap="around"/>
    </w:pPr>
  </w:p>
  <w:p w14:paraId="56F44C4A" w14:textId="77777777" w:rsidR="002C1463" w:rsidRDefault="002C1463" w:rsidP="002A491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A9AC7" w14:textId="77777777" w:rsidR="002C1463" w:rsidRPr="002A4917" w:rsidRDefault="002C1463" w:rsidP="002A49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FB2B6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E0064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9FE480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A1E01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EC6D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AC13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7EF8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36FA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BC4E8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FAAE2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75D28C06"/>
    <w:styleLink w:val="Listroman"/>
    <w:lvl w:ilvl="0">
      <w:start w:val="1"/>
      <w:numFmt w:val="lowerRoman"/>
      <w:lvlText w:val="%1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2CE4C3E"/>
    <w:multiLevelType w:val="singleLevel"/>
    <w:tmpl w:val="84E850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</w:abstractNum>
  <w:abstractNum w:abstractNumId="12" w15:restartNumberingAfterBreak="0">
    <w:nsid w:val="04DE59B0"/>
    <w:multiLevelType w:val="hybridMultilevel"/>
    <w:tmpl w:val="5D62F36C"/>
    <w:lvl w:ilvl="0" w:tplc="3C0040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9D6F32"/>
    <w:multiLevelType w:val="multilevel"/>
    <w:tmpl w:val="29505346"/>
    <w:styleLink w:val="Listtable"/>
    <w:lvl w:ilvl="0">
      <w:start w:val="1"/>
      <w:numFmt w:val="decimal"/>
      <w:pStyle w:val="Tabletextnumberedlist"/>
      <w:lvlText w:val="%1"/>
      <w:lvlJc w:val="left"/>
      <w:pPr>
        <w:tabs>
          <w:tab w:val="num" w:pos="397"/>
        </w:tabs>
        <w:ind w:left="397" w:hanging="397"/>
      </w:pPr>
      <w:rPr>
        <w:rFonts w:ascii="Verdana" w:hAnsi="Verdana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9410486"/>
    <w:multiLevelType w:val="hybridMultilevel"/>
    <w:tmpl w:val="93FC8EFE"/>
    <w:lvl w:ilvl="0" w:tplc="1B48FCC8">
      <w:start w:val="1"/>
      <w:numFmt w:val="bullet"/>
      <w:pStyle w:val="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B00C07"/>
    <w:multiLevelType w:val="hybridMultilevel"/>
    <w:tmpl w:val="5134C934"/>
    <w:lvl w:ilvl="0" w:tplc="4E0A5C58">
      <w:start w:val="1"/>
      <w:numFmt w:val="decimal"/>
      <w:pStyle w:val="Numberedlist"/>
      <w:lvlText w:val="%1"/>
      <w:lvlJc w:val="left"/>
      <w:pPr>
        <w:ind w:left="12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1E5D0997"/>
    <w:multiLevelType w:val="hybridMultilevel"/>
    <w:tmpl w:val="47B8EF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F22BF1"/>
    <w:multiLevelType w:val="hybridMultilevel"/>
    <w:tmpl w:val="21BC9E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026756"/>
    <w:multiLevelType w:val="hybridMultilevel"/>
    <w:tmpl w:val="7160EC94"/>
    <w:lvl w:ilvl="0" w:tplc="8458B106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color w:val="auto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80E43E76"/>
    <w:numStyleLink w:val="Listnum"/>
  </w:abstractNum>
  <w:abstractNum w:abstractNumId="20" w15:restartNumberingAfterBreak="0">
    <w:nsid w:val="2A634C4B"/>
    <w:multiLevelType w:val="hybridMultilevel"/>
    <w:tmpl w:val="FACAC444"/>
    <w:lvl w:ilvl="0" w:tplc="FFFFFFFF">
      <w:start w:val="1"/>
      <w:numFmt w:val="bullet"/>
      <w:pStyle w:val="Feature1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3F3715"/>
    <w:multiLevelType w:val="multilevel"/>
    <w:tmpl w:val="80E43E76"/>
    <w:numStyleLink w:val="Listnum"/>
  </w:abstractNum>
  <w:abstractNum w:abstractNumId="22" w15:restartNumberingAfterBreak="0">
    <w:nsid w:val="390D7980"/>
    <w:multiLevelType w:val="hybridMultilevel"/>
    <w:tmpl w:val="8DC8BE30"/>
    <w:lvl w:ilvl="0" w:tplc="48647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EA6604"/>
    <w:multiLevelType w:val="hybridMultilevel"/>
    <w:tmpl w:val="0BD8CC68"/>
    <w:lvl w:ilvl="0" w:tplc="48647D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164966"/>
    <w:multiLevelType w:val="hybridMultilevel"/>
    <w:tmpl w:val="5A0E2A64"/>
    <w:lvl w:ilvl="0" w:tplc="48647D16">
      <w:start w:val="1"/>
      <w:numFmt w:val="bullet"/>
      <w:lvlText w:val=""/>
      <w:lvlJc w:val="left"/>
      <w:pPr>
        <w:ind w:left="6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24" w:hanging="360"/>
      </w:pPr>
      <w:rPr>
        <w:rFonts w:ascii="Wingdings" w:hAnsi="Wingdings" w:hint="default"/>
      </w:rPr>
    </w:lvl>
  </w:abstractNum>
  <w:abstractNum w:abstractNumId="25" w15:restartNumberingAfterBreak="0">
    <w:nsid w:val="4C786405"/>
    <w:multiLevelType w:val="hybridMultilevel"/>
    <w:tmpl w:val="A052D274"/>
    <w:lvl w:ilvl="0" w:tplc="48647D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F077B4D"/>
    <w:multiLevelType w:val="hybridMultilevel"/>
    <w:tmpl w:val="300CBC1E"/>
    <w:lvl w:ilvl="0" w:tplc="48647D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lowerLetter"/>
      <w:lvlText w:val="%2."/>
      <w:lvlJc w:val="left"/>
      <w:pPr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E279B0"/>
    <w:multiLevelType w:val="multilevel"/>
    <w:tmpl w:val="29505346"/>
    <w:numStyleLink w:val="Listtable"/>
  </w:abstractNum>
  <w:abstractNum w:abstractNumId="28" w15:restartNumberingAfterBreak="0">
    <w:nsid w:val="66D24E1B"/>
    <w:multiLevelType w:val="hybridMultilevel"/>
    <w:tmpl w:val="4E86F13C"/>
    <w:lvl w:ilvl="0" w:tplc="48647D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97B65A6"/>
    <w:multiLevelType w:val="multilevel"/>
    <w:tmpl w:val="F43C3202"/>
    <w:styleLink w:val="Listfeature"/>
    <w:lvl w:ilvl="0">
      <w:start w:val="1"/>
      <w:numFmt w:val="decimal"/>
      <w:pStyle w:val="Feature1textnumberedlist"/>
      <w:lvlText w:val="%1"/>
      <w:lvlJc w:val="left"/>
      <w:pPr>
        <w:tabs>
          <w:tab w:val="num" w:pos="505"/>
        </w:tabs>
        <w:ind w:left="505" w:hanging="397"/>
      </w:pPr>
      <w:rPr>
        <w:rFonts w:ascii="Verdana" w:hAnsi="Verdana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7246464C"/>
    <w:multiLevelType w:val="hybridMultilevel"/>
    <w:tmpl w:val="7598DF02"/>
    <w:lvl w:ilvl="0" w:tplc="48647D16">
      <w:start w:val="1"/>
      <w:numFmt w:val="bullet"/>
      <w:pStyle w:val="Table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6E226D"/>
    <w:multiLevelType w:val="multilevel"/>
    <w:tmpl w:val="2EC6BFAE"/>
    <w:styleLink w:val="Listalpha"/>
    <w:lvl w:ilvl="0">
      <w:start w:val="1"/>
      <w:numFmt w:val="lowerLetter"/>
      <w:pStyle w:val="Alphalist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2" w15:restartNumberingAfterBreak="0">
    <w:nsid w:val="75E357D0"/>
    <w:multiLevelType w:val="hybridMultilevel"/>
    <w:tmpl w:val="FCD06822"/>
    <w:lvl w:ilvl="0" w:tplc="BFBE8B22">
      <w:start w:val="1"/>
      <w:numFmt w:val="bullet"/>
      <w:pStyle w:val="Feature2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30377C"/>
    <w:multiLevelType w:val="multilevel"/>
    <w:tmpl w:val="80E43E76"/>
    <w:styleLink w:val="Listnum"/>
    <w:lvl w:ilvl="0">
      <w:start w:val="1"/>
      <w:numFmt w:val="decimal"/>
      <w:pStyle w:val="Feature2textnumberedlist"/>
      <w:lvlText w:val="%1"/>
      <w:lvlJc w:val="left"/>
      <w:pPr>
        <w:tabs>
          <w:tab w:val="num" w:pos="397"/>
        </w:tabs>
        <w:ind w:left="397" w:hanging="397"/>
      </w:pPr>
      <w:rPr>
        <w:rFonts w:ascii="Verdana" w:hAnsi="Verdana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615064684">
    <w:abstractNumId w:val="33"/>
  </w:num>
  <w:num w:numId="2" w16cid:durableId="1933977066">
    <w:abstractNumId w:val="31"/>
  </w:num>
  <w:num w:numId="3" w16cid:durableId="919407306">
    <w:abstractNumId w:val="10"/>
  </w:num>
  <w:num w:numId="4" w16cid:durableId="470024467">
    <w:abstractNumId w:val="32"/>
  </w:num>
  <w:num w:numId="5" w16cid:durableId="1907764745">
    <w:abstractNumId w:val="20"/>
  </w:num>
  <w:num w:numId="6" w16cid:durableId="1059211559">
    <w:abstractNumId w:val="21"/>
  </w:num>
  <w:num w:numId="7" w16cid:durableId="337000596">
    <w:abstractNumId w:val="19"/>
  </w:num>
  <w:num w:numId="8" w16cid:durableId="1196193542">
    <w:abstractNumId w:val="29"/>
  </w:num>
  <w:num w:numId="9" w16cid:durableId="16272216">
    <w:abstractNumId w:val="14"/>
  </w:num>
  <w:num w:numId="10" w16cid:durableId="647318889">
    <w:abstractNumId w:val="30"/>
  </w:num>
  <w:num w:numId="11" w16cid:durableId="50426606">
    <w:abstractNumId w:val="13"/>
  </w:num>
  <w:num w:numId="12" w16cid:durableId="1697199298">
    <w:abstractNumId w:val="27"/>
  </w:num>
  <w:num w:numId="13" w16cid:durableId="668673088">
    <w:abstractNumId w:val="9"/>
  </w:num>
  <w:num w:numId="14" w16cid:durableId="1745643994">
    <w:abstractNumId w:val="7"/>
  </w:num>
  <w:num w:numId="15" w16cid:durableId="607395272">
    <w:abstractNumId w:val="6"/>
  </w:num>
  <w:num w:numId="16" w16cid:durableId="731082490">
    <w:abstractNumId w:val="5"/>
  </w:num>
  <w:num w:numId="17" w16cid:durableId="969626490">
    <w:abstractNumId w:val="4"/>
  </w:num>
  <w:num w:numId="18" w16cid:durableId="787235169">
    <w:abstractNumId w:val="8"/>
  </w:num>
  <w:num w:numId="19" w16cid:durableId="1586449920">
    <w:abstractNumId w:val="3"/>
  </w:num>
  <w:num w:numId="20" w16cid:durableId="527958268">
    <w:abstractNumId w:val="2"/>
  </w:num>
  <w:num w:numId="21" w16cid:durableId="1886672351">
    <w:abstractNumId w:val="1"/>
  </w:num>
  <w:num w:numId="22" w16cid:durableId="632520375">
    <w:abstractNumId w:val="0"/>
  </w:num>
  <w:num w:numId="23" w16cid:durableId="185870335">
    <w:abstractNumId w:val="11"/>
  </w:num>
  <w:num w:numId="24" w16cid:durableId="375862572">
    <w:abstractNumId w:val="15"/>
  </w:num>
  <w:num w:numId="25" w16cid:durableId="442455781">
    <w:abstractNumId w:val="26"/>
  </w:num>
  <w:num w:numId="26" w16cid:durableId="1654606873">
    <w:abstractNumId w:val="25"/>
  </w:num>
  <w:num w:numId="27" w16cid:durableId="748387632">
    <w:abstractNumId w:val="18"/>
  </w:num>
  <w:num w:numId="28" w16cid:durableId="1869874046">
    <w:abstractNumId w:val="28"/>
  </w:num>
  <w:num w:numId="29" w16cid:durableId="902643265">
    <w:abstractNumId w:val="16"/>
  </w:num>
  <w:num w:numId="30" w16cid:durableId="102310217">
    <w:abstractNumId w:val="30"/>
  </w:num>
  <w:num w:numId="31" w16cid:durableId="342322192">
    <w:abstractNumId w:val="12"/>
  </w:num>
  <w:num w:numId="32" w16cid:durableId="2141802114">
    <w:abstractNumId w:val="24"/>
  </w:num>
  <w:num w:numId="33" w16cid:durableId="696124016">
    <w:abstractNumId w:val="23"/>
  </w:num>
  <w:num w:numId="34" w16cid:durableId="706756485">
    <w:abstractNumId w:val="17"/>
  </w:num>
  <w:num w:numId="35" w16cid:durableId="606238043">
    <w:abstractNumId w:val="22"/>
  </w:num>
  <w:num w:numId="36" w16cid:durableId="2095590770">
    <w:abstractNumId w:val="30"/>
  </w:num>
  <w:num w:numId="37" w16cid:durableId="492179666">
    <w:abstractNumId w:val="30"/>
  </w:num>
  <w:num w:numId="38" w16cid:durableId="2017994530">
    <w:abstractNumId w:val="30"/>
  </w:num>
  <w:num w:numId="39" w16cid:durableId="25570154">
    <w:abstractNumId w:val="30"/>
  </w:num>
  <w:num w:numId="40" w16cid:durableId="999387345">
    <w:abstractNumId w:val="30"/>
  </w:num>
  <w:num w:numId="41" w16cid:durableId="1434208426">
    <w:abstractNumId w:val="30"/>
  </w:num>
  <w:num w:numId="42" w16cid:durableId="1657344574">
    <w:abstractNumId w:val="30"/>
  </w:num>
  <w:num w:numId="43" w16cid:durableId="2074043877">
    <w:abstractNumId w:val="30"/>
  </w:num>
  <w:num w:numId="44" w16cid:durableId="1632978224">
    <w:abstractNumId w:val="3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Moves/>
  <w:defaultTabStop w:val="720"/>
  <w:evenAndOddHeader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17E55"/>
    <w:rsid w:val="00003F80"/>
    <w:rsid w:val="00007504"/>
    <w:rsid w:val="000217E9"/>
    <w:rsid w:val="00037743"/>
    <w:rsid w:val="000A5F54"/>
    <w:rsid w:val="000B32B0"/>
    <w:rsid w:val="000B7DAE"/>
    <w:rsid w:val="000D1FB8"/>
    <w:rsid w:val="000F05AD"/>
    <w:rsid w:val="00112FCC"/>
    <w:rsid w:val="00130940"/>
    <w:rsid w:val="00175540"/>
    <w:rsid w:val="00190A77"/>
    <w:rsid w:val="001A174D"/>
    <w:rsid w:val="001B3491"/>
    <w:rsid w:val="002229E7"/>
    <w:rsid w:val="00260129"/>
    <w:rsid w:val="00282954"/>
    <w:rsid w:val="002A21ED"/>
    <w:rsid w:val="002A4917"/>
    <w:rsid w:val="002C1463"/>
    <w:rsid w:val="00316446"/>
    <w:rsid w:val="00324D84"/>
    <w:rsid w:val="00377CAC"/>
    <w:rsid w:val="003E693A"/>
    <w:rsid w:val="003F4E77"/>
    <w:rsid w:val="00415D03"/>
    <w:rsid w:val="00452AAB"/>
    <w:rsid w:val="00461D34"/>
    <w:rsid w:val="00467C69"/>
    <w:rsid w:val="004834D6"/>
    <w:rsid w:val="004A7E9D"/>
    <w:rsid w:val="004B0863"/>
    <w:rsid w:val="004C625C"/>
    <w:rsid w:val="004F15B2"/>
    <w:rsid w:val="004F163A"/>
    <w:rsid w:val="004F2463"/>
    <w:rsid w:val="005146BB"/>
    <w:rsid w:val="00520093"/>
    <w:rsid w:val="00532F9E"/>
    <w:rsid w:val="0053425B"/>
    <w:rsid w:val="00557C06"/>
    <w:rsid w:val="00563D47"/>
    <w:rsid w:val="00580B47"/>
    <w:rsid w:val="0059686E"/>
    <w:rsid w:val="005F5E36"/>
    <w:rsid w:val="00621844"/>
    <w:rsid w:val="006328BB"/>
    <w:rsid w:val="00632C67"/>
    <w:rsid w:val="006423C2"/>
    <w:rsid w:val="0067130A"/>
    <w:rsid w:val="0069785B"/>
    <w:rsid w:val="006C399D"/>
    <w:rsid w:val="0072348B"/>
    <w:rsid w:val="00747D37"/>
    <w:rsid w:val="00791717"/>
    <w:rsid w:val="00796955"/>
    <w:rsid w:val="007A42F4"/>
    <w:rsid w:val="007D198F"/>
    <w:rsid w:val="007E2E98"/>
    <w:rsid w:val="00805336"/>
    <w:rsid w:val="0082429A"/>
    <w:rsid w:val="008449A7"/>
    <w:rsid w:val="008567DD"/>
    <w:rsid w:val="00882486"/>
    <w:rsid w:val="00892512"/>
    <w:rsid w:val="008A3601"/>
    <w:rsid w:val="008B10E5"/>
    <w:rsid w:val="008D3CA4"/>
    <w:rsid w:val="008E4299"/>
    <w:rsid w:val="008F0D2A"/>
    <w:rsid w:val="008F6B94"/>
    <w:rsid w:val="00900C7F"/>
    <w:rsid w:val="00912436"/>
    <w:rsid w:val="0091514E"/>
    <w:rsid w:val="00921ED8"/>
    <w:rsid w:val="009300A3"/>
    <w:rsid w:val="0093385A"/>
    <w:rsid w:val="00964F44"/>
    <w:rsid w:val="00A00B63"/>
    <w:rsid w:val="00A010A8"/>
    <w:rsid w:val="00A07B51"/>
    <w:rsid w:val="00A23C84"/>
    <w:rsid w:val="00A36676"/>
    <w:rsid w:val="00A42441"/>
    <w:rsid w:val="00A56BDE"/>
    <w:rsid w:val="00A9252F"/>
    <w:rsid w:val="00A967C8"/>
    <w:rsid w:val="00AC7311"/>
    <w:rsid w:val="00AD16DA"/>
    <w:rsid w:val="00AE7278"/>
    <w:rsid w:val="00B34040"/>
    <w:rsid w:val="00B84960"/>
    <w:rsid w:val="00BA3CE0"/>
    <w:rsid w:val="00BD3308"/>
    <w:rsid w:val="00BF7EC0"/>
    <w:rsid w:val="00C508DF"/>
    <w:rsid w:val="00C843D1"/>
    <w:rsid w:val="00C85469"/>
    <w:rsid w:val="00CA47CD"/>
    <w:rsid w:val="00CC5D35"/>
    <w:rsid w:val="00CE495F"/>
    <w:rsid w:val="00CE4D59"/>
    <w:rsid w:val="00CF0BC6"/>
    <w:rsid w:val="00D34266"/>
    <w:rsid w:val="00D56151"/>
    <w:rsid w:val="00D75C4B"/>
    <w:rsid w:val="00D86DAD"/>
    <w:rsid w:val="00DA072F"/>
    <w:rsid w:val="00DD1B75"/>
    <w:rsid w:val="00DD693D"/>
    <w:rsid w:val="00E044E0"/>
    <w:rsid w:val="00E06A9A"/>
    <w:rsid w:val="00E15475"/>
    <w:rsid w:val="00E24ABF"/>
    <w:rsid w:val="00E47CC5"/>
    <w:rsid w:val="00E656F5"/>
    <w:rsid w:val="00E6713E"/>
    <w:rsid w:val="00E90A1E"/>
    <w:rsid w:val="00EC3022"/>
    <w:rsid w:val="00ED29CF"/>
    <w:rsid w:val="00ED3EC3"/>
    <w:rsid w:val="00F8627F"/>
    <w:rsid w:val="00F91692"/>
    <w:rsid w:val="00FB671C"/>
    <w:rsid w:val="00FF2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oNotEmbedSmartTags/>
  <w:decimalSymbol w:val="."/>
  <w:listSeparator w:val=","/>
  <w14:docId w14:val="75C4F28D"/>
  <w15:chartTrackingRefBased/>
  <w15:docId w15:val="{59812E75-03E5-4E88-ACA3-F7F08C6DA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annotation subjec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637F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link w:val="FooterChar"/>
    <w:uiPriority w:val="99"/>
    <w:rsid w:val="00FF3F3D"/>
    <w:pPr>
      <w:pBdr>
        <w:top w:val="single" w:sz="6" w:space="4" w:color="828172"/>
      </w:pBdr>
      <w:ind w:left="-57" w:right="-57"/>
    </w:pPr>
    <w:rPr>
      <w:rFonts w:ascii="Verdana" w:hAnsi="Verdana"/>
      <w:sz w:val="14"/>
      <w:szCs w:val="24"/>
      <w:lang w:eastAsia="en-US"/>
    </w:rPr>
  </w:style>
  <w:style w:type="paragraph" w:styleId="Header">
    <w:name w:val="header"/>
    <w:link w:val="HeaderChar"/>
    <w:rsid w:val="00731BE6"/>
    <w:pPr>
      <w:spacing w:before="260"/>
      <w:jc w:val="right"/>
    </w:pPr>
    <w:rPr>
      <w:rFonts w:ascii="Verdana" w:hAnsi="Verdana"/>
      <w:b/>
      <w:color w:val="405E64"/>
      <w:sz w:val="19"/>
      <w:szCs w:val="24"/>
      <w:lang w:eastAsia="en-US"/>
    </w:rPr>
  </w:style>
  <w:style w:type="paragraph" w:customStyle="1" w:styleId="Unithead">
    <w:name w:val="Unit head"/>
    <w:next w:val="text"/>
    <w:qFormat/>
    <w:rsid w:val="00395F49"/>
    <w:pPr>
      <w:pBdr>
        <w:top w:val="single" w:sz="8" w:space="2" w:color="827B72"/>
        <w:bottom w:val="single" w:sz="8" w:space="2" w:color="827B72"/>
      </w:pBdr>
      <w:spacing w:after="360" w:line="440" w:lineRule="exact"/>
      <w:ind w:left="28" w:right="284"/>
    </w:pPr>
    <w:rPr>
      <w:rFonts w:ascii="Verdana" w:hAnsi="Verdana"/>
      <w:b/>
      <w:color w:val="405E64"/>
      <w:sz w:val="40"/>
      <w:szCs w:val="50"/>
    </w:rPr>
  </w:style>
  <w:style w:type="paragraph" w:styleId="TOC1">
    <w:name w:val="toc 1"/>
    <w:next w:val="TOC2"/>
    <w:uiPriority w:val="39"/>
    <w:rsid w:val="00E94D68"/>
    <w:pPr>
      <w:widowControl w:val="0"/>
      <w:tabs>
        <w:tab w:val="right" w:pos="8789"/>
      </w:tabs>
      <w:spacing w:before="60" w:after="60" w:line="300" w:lineRule="atLeast"/>
      <w:ind w:right="284"/>
    </w:pPr>
    <w:rPr>
      <w:rFonts w:ascii="Verdana" w:hAnsi="Verdana"/>
      <w:b/>
      <w:noProof/>
      <w:snapToGrid w:val="0"/>
      <w:sz w:val="26"/>
      <w:lang w:eastAsia="en-US"/>
    </w:rPr>
  </w:style>
  <w:style w:type="character" w:styleId="PageNumber">
    <w:name w:val="page number"/>
    <w:rsid w:val="00C07932"/>
    <w:rPr>
      <w:rFonts w:ascii="Verdana" w:hAnsi="Verdana"/>
      <w:b/>
      <w:color w:val="405E64"/>
    </w:rPr>
  </w:style>
  <w:style w:type="paragraph" w:customStyle="1" w:styleId="Ahead">
    <w:name w:val="A head"/>
    <w:next w:val="text"/>
    <w:qFormat/>
    <w:rsid w:val="00395F49"/>
    <w:pPr>
      <w:keepNext/>
      <w:pBdr>
        <w:bottom w:val="single" w:sz="8" w:space="1" w:color="827B72"/>
      </w:pBdr>
      <w:spacing w:before="120" w:after="360"/>
    </w:pPr>
    <w:rPr>
      <w:rFonts w:ascii="Verdana" w:hAnsi="Verdana"/>
      <w:b/>
      <w:color w:val="405E64"/>
      <w:sz w:val="32"/>
      <w:szCs w:val="24"/>
      <w:lang w:eastAsia="en-US"/>
    </w:rPr>
  </w:style>
  <w:style w:type="paragraph" w:customStyle="1" w:styleId="Bhead">
    <w:name w:val="B head"/>
    <w:next w:val="text"/>
    <w:qFormat/>
    <w:rsid w:val="000B4ACD"/>
    <w:pPr>
      <w:keepNext/>
      <w:spacing w:before="240" w:after="120"/>
    </w:pPr>
    <w:rPr>
      <w:rFonts w:ascii="Verdana" w:hAnsi="Verdana" w:cs="Arial"/>
      <w:b/>
      <w:color w:val="405E64"/>
      <w:sz w:val="26"/>
      <w:szCs w:val="24"/>
      <w:lang w:eastAsia="en-US"/>
    </w:rPr>
  </w:style>
  <w:style w:type="paragraph" w:customStyle="1" w:styleId="Chead">
    <w:name w:val="C head"/>
    <w:next w:val="text"/>
    <w:qFormat/>
    <w:rsid w:val="00356A7E"/>
    <w:pPr>
      <w:keepNext/>
      <w:spacing w:before="240" w:after="120"/>
      <w:ind w:left="567"/>
    </w:pPr>
    <w:rPr>
      <w:rFonts w:ascii="Verdana" w:hAnsi="Verdana" w:cs="Arial"/>
      <w:b/>
      <w:sz w:val="22"/>
      <w:szCs w:val="24"/>
      <w:lang w:eastAsia="en-US"/>
    </w:rPr>
  </w:style>
  <w:style w:type="paragraph" w:customStyle="1" w:styleId="text">
    <w:name w:val="text"/>
    <w:qFormat/>
    <w:rsid w:val="004F33FE"/>
    <w:pPr>
      <w:spacing w:before="80" w:after="60" w:line="240" w:lineRule="atLeast"/>
      <w:ind w:left="567"/>
    </w:pPr>
    <w:rPr>
      <w:rFonts w:ascii="Verdana" w:hAnsi="Verdana" w:cs="Arial"/>
      <w:szCs w:val="24"/>
      <w:lang w:eastAsia="en-US"/>
    </w:rPr>
  </w:style>
  <w:style w:type="paragraph" w:customStyle="1" w:styleId="textbullets">
    <w:name w:val="text bullets"/>
    <w:link w:val="textbulletsChar"/>
    <w:qFormat/>
    <w:rsid w:val="004F33FE"/>
    <w:pPr>
      <w:numPr>
        <w:numId w:val="9"/>
      </w:numPr>
      <w:tabs>
        <w:tab w:val="clear" w:pos="397"/>
        <w:tab w:val="left" w:pos="964"/>
      </w:tabs>
      <w:spacing w:before="80" w:after="60" w:line="240" w:lineRule="atLeast"/>
      <w:ind w:left="964"/>
    </w:pPr>
    <w:rPr>
      <w:rFonts w:ascii="Verdana" w:hAnsi="Verdana"/>
      <w:szCs w:val="24"/>
      <w:lang w:eastAsia="es-ES_tradnl"/>
    </w:rPr>
  </w:style>
  <w:style w:type="numbering" w:customStyle="1" w:styleId="Listnum">
    <w:name w:val="List num"/>
    <w:basedOn w:val="NoList"/>
    <w:semiHidden/>
    <w:rsid w:val="00662D9D"/>
    <w:pPr>
      <w:numPr>
        <w:numId w:val="1"/>
      </w:numPr>
    </w:pPr>
  </w:style>
  <w:style w:type="character" w:customStyle="1" w:styleId="Feature2textChar">
    <w:name w:val="Feature 2 text Char"/>
    <w:link w:val="Feature2text"/>
    <w:rsid w:val="00FF1E30"/>
    <w:rPr>
      <w:rFonts w:ascii="Verdana" w:hAnsi="Verdana" w:cs="Arial"/>
      <w:szCs w:val="24"/>
      <w:lang w:val="en-GB" w:eastAsia="en-US" w:bidi="ar-SA"/>
    </w:rPr>
  </w:style>
  <w:style w:type="paragraph" w:customStyle="1" w:styleId="Numberedlist">
    <w:name w:val="Numbered list"/>
    <w:qFormat/>
    <w:rsid w:val="00AC5366"/>
    <w:pPr>
      <w:numPr>
        <w:numId w:val="24"/>
      </w:numPr>
      <w:tabs>
        <w:tab w:val="left" w:pos="964"/>
      </w:tabs>
      <w:spacing w:before="80" w:after="60" w:line="240" w:lineRule="atLeast"/>
      <w:ind w:left="964" w:hanging="397"/>
    </w:pPr>
    <w:rPr>
      <w:rFonts w:ascii="Verdana" w:hAnsi="Verdana"/>
      <w:szCs w:val="24"/>
    </w:rPr>
  </w:style>
  <w:style w:type="paragraph" w:customStyle="1" w:styleId="Feature1head">
    <w:name w:val="Feature 1 head"/>
    <w:next w:val="Feature1text"/>
    <w:qFormat/>
    <w:rsid w:val="00925DAB"/>
    <w:pPr>
      <w:keepNext/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hd w:val="clear" w:color="auto" w:fill="E6E6E6"/>
      <w:spacing w:before="80" w:after="60"/>
      <w:ind w:left="675" w:right="108"/>
    </w:pPr>
    <w:rPr>
      <w:rFonts w:ascii="Verdana" w:hAnsi="Verdana" w:cs="Arial"/>
      <w:b/>
      <w:sz w:val="22"/>
      <w:szCs w:val="24"/>
      <w:lang w:eastAsia="en-US"/>
    </w:rPr>
  </w:style>
  <w:style w:type="paragraph" w:customStyle="1" w:styleId="Feature1sub-head">
    <w:name w:val="Feature 1 sub-head"/>
    <w:next w:val="Feature1text"/>
    <w:qFormat/>
    <w:rsid w:val="00925DAB"/>
    <w:pPr>
      <w:keepNext/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hd w:val="clear" w:color="auto" w:fill="E6E6E6"/>
      <w:spacing w:before="80" w:after="60"/>
      <w:ind w:left="675" w:right="108"/>
    </w:pPr>
    <w:rPr>
      <w:rFonts w:ascii="Verdana" w:hAnsi="Verdana" w:cs="Arial"/>
      <w:b/>
      <w:szCs w:val="24"/>
      <w:lang w:eastAsia="en-US"/>
    </w:rPr>
  </w:style>
  <w:style w:type="paragraph" w:customStyle="1" w:styleId="Feature1text">
    <w:name w:val="Feature 1 text"/>
    <w:qFormat/>
    <w:rsid w:val="00925DAB"/>
    <w:pPr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hd w:val="clear" w:color="auto" w:fill="E6E6E6"/>
      <w:tabs>
        <w:tab w:val="left" w:pos="2114"/>
      </w:tabs>
      <w:spacing w:before="80" w:after="60" w:line="240" w:lineRule="atLeast"/>
      <w:ind w:left="675" w:right="108"/>
    </w:pPr>
    <w:rPr>
      <w:rFonts w:ascii="Verdana" w:hAnsi="Verdana" w:cs="Arial"/>
      <w:szCs w:val="24"/>
      <w:lang w:eastAsia="en-US"/>
    </w:rPr>
  </w:style>
  <w:style w:type="paragraph" w:customStyle="1" w:styleId="Feature1textbullets">
    <w:name w:val="Feature 1 text bullets"/>
    <w:qFormat/>
    <w:rsid w:val="00925DAB"/>
    <w:pPr>
      <w:numPr>
        <w:numId w:val="5"/>
      </w:numPr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hd w:val="clear" w:color="auto" w:fill="E6E6E6"/>
      <w:tabs>
        <w:tab w:val="clear" w:pos="505"/>
        <w:tab w:val="num" w:pos="1072"/>
      </w:tabs>
      <w:spacing w:before="80" w:after="60" w:line="240" w:lineRule="atLeast"/>
      <w:ind w:left="1072" w:right="108"/>
    </w:pPr>
    <w:rPr>
      <w:rFonts w:ascii="Verdana" w:hAnsi="Verdana" w:cs="Arial"/>
      <w:szCs w:val="24"/>
      <w:lang w:eastAsia="en-US"/>
    </w:rPr>
  </w:style>
  <w:style w:type="paragraph" w:customStyle="1" w:styleId="Feature2head">
    <w:name w:val="Feature 2 head"/>
    <w:next w:val="Feature2text"/>
    <w:qFormat/>
    <w:rsid w:val="00FF1E30"/>
    <w:pPr>
      <w:keepNext/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pacing w:before="80" w:after="60"/>
      <w:ind w:left="675" w:right="108"/>
    </w:pPr>
    <w:rPr>
      <w:rFonts w:ascii="Verdana" w:hAnsi="Verdana" w:cs="Arial"/>
      <w:b/>
      <w:sz w:val="22"/>
      <w:szCs w:val="24"/>
      <w:lang w:eastAsia="en-US"/>
    </w:rPr>
  </w:style>
  <w:style w:type="paragraph" w:customStyle="1" w:styleId="Feature1textnumberedlist">
    <w:name w:val="Feature 1 text numbered list"/>
    <w:qFormat/>
    <w:rsid w:val="00925DAB"/>
    <w:pPr>
      <w:numPr>
        <w:numId w:val="8"/>
      </w:numPr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hd w:val="clear" w:color="auto" w:fill="E6E6E6"/>
      <w:tabs>
        <w:tab w:val="clear" w:pos="505"/>
        <w:tab w:val="num" w:pos="1072"/>
      </w:tabs>
      <w:spacing w:before="80" w:after="60" w:line="240" w:lineRule="atLeast"/>
      <w:ind w:left="1072" w:right="108"/>
    </w:pPr>
    <w:rPr>
      <w:rFonts w:ascii="Verdana" w:hAnsi="Verdana" w:cs="Arial"/>
      <w:szCs w:val="24"/>
      <w:lang w:eastAsia="en-US"/>
    </w:rPr>
  </w:style>
  <w:style w:type="paragraph" w:customStyle="1" w:styleId="Feature2sub-head">
    <w:name w:val="Feature 2 sub-head"/>
    <w:next w:val="Feature2text"/>
    <w:qFormat/>
    <w:rsid w:val="00FF1E30"/>
    <w:pPr>
      <w:keepNext/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pacing w:before="80" w:after="60"/>
      <w:ind w:left="675" w:right="108"/>
    </w:pPr>
    <w:rPr>
      <w:rFonts w:ascii="Verdana" w:hAnsi="Verdana" w:cs="Arial"/>
      <w:b/>
      <w:szCs w:val="24"/>
      <w:lang w:eastAsia="en-US"/>
    </w:rPr>
  </w:style>
  <w:style w:type="paragraph" w:customStyle="1" w:styleId="Feature2text">
    <w:name w:val="Feature 2 text"/>
    <w:link w:val="Feature2textChar"/>
    <w:qFormat/>
    <w:rsid w:val="00FF1E30"/>
    <w:pPr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pacing w:before="80" w:after="60" w:line="240" w:lineRule="atLeast"/>
      <w:ind w:left="675" w:right="108"/>
    </w:pPr>
    <w:rPr>
      <w:rFonts w:ascii="Verdana" w:hAnsi="Verdana" w:cs="Arial"/>
      <w:szCs w:val="24"/>
      <w:lang w:eastAsia="en-US"/>
    </w:rPr>
  </w:style>
  <w:style w:type="paragraph" w:customStyle="1" w:styleId="Feature2textbullets">
    <w:name w:val="Feature 2 text bullets"/>
    <w:qFormat/>
    <w:rsid w:val="00FF1E30"/>
    <w:pPr>
      <w:numPr>
        <w:numId w:val="4"/>
      </w:numPr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tabs>
        <w:tab w:val="clear" w:pos="505"/>
        <w:tab w:val="left" w:pos="1072"/>
      </w:tabs>
      <w:spacing w:before="80" w:after="60" w:line="240" w:lineRule="atLeast"/>
      <w:ind w:left="1072" w:right="108"/>
    </w:pPr>
    <w:rPr>
      <w:rFonts w:ascii="Verdana" w:hAnsi="Verdana" w:cs="Arial"/>
      <w:szCs w:val="24"/>
      <w:lang w:eastAsia="en-US"/>
    </w:rPr>
  </w:style>
  <w:style w:type="paragraph" w:customStyle="1" w:styleId="Feature2textnumberedlist">
    <w:name w:val="Feature 2 text numbered list"/>
    <w:qFormat/>
    <w:rsid w:val="00FF1E30"/>
    <w:pPr>
      <w:numPr>
        <w:numId w:val="6"/>
      </w:numPr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tabs>
        <w:tab w:val="clear" w:pos="397"/>
        <w:tab w:val="left" w:pos="1072"/>
      </w:tabs>
      <w:spacing w:before="80" w:after="60" w:line="240" w:lineRule="atLeast"/>
      <w:ind w:left="1072" w:right="108"/>
    </w:pPr>
    <w:rPr>
      <w:rFonts w:ascii="Verdana" w:hAnsi="Verdana" w:cs="Arial"/>
      <w:szCs w:val="24"/>
      <w:lang w:eastAsia="en-US"/>
    </w:rPr>
  </w:style>
  <w:style w:type="paragraph" w:customStyle="1" w:styleId="Tablehead">
    <w:name w:val="Table head"/>
    <w:next w:val="Tabletext"/>
    <w:qFormat/>
    <w:rsid w:val="00926D91"/>
    <w:pPr>
      <w:spacing w:before="80" w:after="60"/>
    </w:pPr>
    <w:rPr>
      <w:rFonts w:ascii="Verdana" w:hAnsi="Verdana" w:cs="Arial"/>
      <w:b/>
      <w:sz w:val="22"/>
      <w:szCs w:val="24"/>
      <w:lang w:eastAsia="en-US"/>
    </w:rPr>
  </w:style>
  <w:style w:type="paragraph" w:customStyle="1" w:styleId="Tablesub-head">
    <w:name w:val="Table sub-head"/>
    <w:next w:val="Tabletext"/>
    <w:qFormat/>
    <w:rsid w:val="00926D91"/>
    <w:pPr>
      <w:spacing w:before="80" w:after="60"/>
    </w:pPr>
    <w:rPr>
      <w:rFonts w:ascii="Verdana" w:hAnsi="Verdana" w:cs="Arial"/>
      <w:b/>
      <w:szCs w:val="24"/>
      <w:lang w:eastAsia="en-US"/>
    </w:rPr>
  </w:style>
  <w:style w:type="paragraph" w:customStyle="1" w:styleId="Tabletext">
    <w:name w:val="Table text"/>
    <w:rsid w:val="00675DCA"/>
    <w:pPr>
      <w:spacing w:before="80" w:after="60" w:line="240" w:lineRule="atLeast"/>
    </w:pPr>
    <w:rPr>
      <w:rFonts w:ascii="Verdana" w:hAnsi="Verdana" w:cs="Arial"/>
      <w:szCs w:val="24"/>
      <w:lang w:eastAsia="en-US"/>
    </w:rPr>
  </w:style>
  <w:style w:type="paragraph" w:customStyle="1" w:styleId="Tabletextbullets">
    <w:name w:val="Table text bullets"/>
    <w:qFormat/>
    <w:rsid w:val="00675DCA"/>
    <w:pPr>
      <w:numPr>
        <w:numId w:val="10"/>
      </w:numPr>
      <w:spacing w:before="80" w:after="60" w:line="240" w:lineRule="atLeast"/>
    </w:pPr>
    <w:rPr>
      <w:rFonts w:ascii="Verdana" w:hAnsi="Verdana" w:cs="Arial"/>
      <w:szCs w:val="24"/>
      <w:lang w:eastAsia="en-US"/>
    </w:rPr>
  </w:style>
  <w:style w:type="paragraph" w:customStyle="1" w:styleId="Tabletextnumberedlist">
    <w:name w:val="Table text numbered list"/>
    <w:qFormat/>
    <w:rsid w:val="00E0515F"/>
    <w:pPr>
      <w:numPr>
        <w:numId w:val="12"/>
      </w:numPr>
      <w:spacing w:before="80" w:after="60" w:line="240" w:lineRule="atLeast"/>
    </w:pPr>
    <w:rPr>
      <w:rFonts w:ascii="Verdana" w:hAnsi="Verdana" w:cs="Arial"/>
      <w:szCs w:val="24"/>
      <w:lang w:eastAsia="en-US"/>
    </w:rPr>
  </w:style>
  <w:style w:type="paragraph" w:customStyle="1" w:styleId="Crossreference">
    <w:name w:val="Cross reference"/>
    <w:next w:val="text"/>
    <w:qFormat/>
    <w:rsid w:val="008867EF"/>
    <w:pPr>
      <w:spacing w:before="60" w:after="60"/>
      <w:ind w:right="851"/>
      <w:jc w:val="right"/>
    </w:pPr>
    <w:rPr>
      <w:rFonts w:ascii="Verdana" w:hAnsi="Verdana" w:cs="Arial"/>
      <w:sz w:val="18"/>
      <w:szCs w:val="24"/>
      <w:lang w:eastAsia="en-US"/>
    </w:rPr>
  </w:style>
  <w:style w:type="paragraph" w:customStyle="1" w:styleId="Textonwritingline">
    <w:name w:val="Text on writing line"/>
    <w:next w:val="text"/>
    <w:qFormat/>
    <w:rsid w:val="009317A3"/>
    <w:pPr>
      <w:spacing w:before="60" w:after="60"/>
      <w:ind w:left="567"/>
    </w:pPr>
    <w:rPr>
      <w:rFonts w:ascii="Comic Sans MS" w:hAnsi="Comic Sans MS" w:cs="Arial"/>
      <w:szCs w:val="24"/>
      <w:u w:val="single"/>
      <w:lang w:eastAsia="en-US"/>
    </w:rPr>
  </w:style>
  <w:style w:type="paragraph" w:customStyle="1" w:styleId="awsmallspace">
    <w:name w:val="a/w small space"/>
    <w:next w:val="text"/>
    <w:qFormat/>
    <w:rsid w:val="008867EF"/>
    <w:pPr>
      <w:spacing w:before="2800" w:after="120"/>
      <w:jc w:val="center"/>
    </w:pPr>
    <w:rPr>
      <w:rFonts w:ascii="Verdana" w:hAnsi="Verdana" w:cs="Arial"/>
      <w:color w:val="FF00FF"/>
      <w:szCs w:val="24"/>
      <w:lang w:eastAsia="en-US"/>
    </w:rPr>
  </w:style>
  <w:style w:type="paragraph" w:customStyle="1" w:styleId="awmediumspace">
    <w:name w:val="a/w medium space"/>
    <w:next w:val="text"/>
    <w:rsid w:val="008867EF"/>
    <w:pPr>
      <w:spacing w:before="4800" w:after="120"/>
      <w:jc w:val="center"/>
    </w:pPr>
    <w:rPr>
      <w:rFonts w:ascii="Verdana" w:hAnsi="Verdana" w:cs="Arial"/>
      <w:color w:val="FF00FF"/>
      <w:szCs w:val="24"/>
      <w:lang w:eastAsia="en-US"/>
    </w:rPr>
  </w:style>
  <w:style w:type="paragraph" w:customStyle="1" w:styleId="awlargespace">
    <w:name w:val="a/w large space"/>
    <w:next w:val="text"/>
    <w:rsid w:val="008867EF"/>
    <w:pPr>
      <w:spacing w:before="6800" w:after="120"/>
      <w:jc w:val="center"/>
    </w:pPr>
    <w:rPr>
      <w:rFonts w:ascii="Verdana" w:hAnsi="Verdana" w:cs="Arial"/>
      <w:color w:val="FF00FF"/>
      <w:szCs w:val="24"/>
      <w:lang w:eastAsia="en-US"/>
    </w:rPr>
  </w:style>
  <w:style w:type="table" w:customStyle="1" w:styleId="Table1">
    <w:name w:val="Table 1"/>
    <w:basedOn w:val="TableNormal"/>
    <w:rsid w:val="00747747"/>
    <w:rPr>
      <w:rFonts w:ascii="Verdana" w:hAnsi="Verdana"/>
    </w:rPr>
    <w:tblPr>
      <w:tblInd w:w="108" w:type="dxa"/>
      <w:tblBorders>
        <w:top w:val="single" w:sz="4" w:space="0" w:color="405E64"/>
        <w:left w:val="single" w:sz="4" w:space="0" w:color="405E64"/>
        <w:bottom w:val="single" w:sz="4" w:space="0" w:color="405E64"/>
        <w:right w:val="single" w:sz="4" w:space="0" w:color="405E64"/>
        <w:insideH w:val="single" w:sz="4" w:space="0" w:color="405E64"/>
        <w:insideV w:val="single" w:sz="4" w:space="0" w:color="405E64"/>
      </w:tblBorders>
    </w:tblPr>
    <w:tblStylePr w:type="firstRow">
      <w:tblPr/>
      <w:tcPr>
        <w:tcBorders>
          <w:top w:val="single" w:sz="4" w:space="0" w:color="405E64"/>
          <w:left w:val="single" w:sz="4" w:space="0" w:color="405E64"/>
          <w:bottom w:val="single" w:sz="4" w:space="0" w:color="405E64"/>
          <w:right w:val="single" w:sz="4" w:space="0" w:color="405E64"/>
          <w:insideH w:val="single" w:sz="4" w:space="0" w:color="405E64"/>
          <w:insideV w:val="single" w:sz="4" w:space="0" w:color="405E64"/>
          <w:tl2br w:val="nil"/>
          <w:tr2bl w:val="nil"/>
        </w:tcBorders>
        <w:shd w:val="clear" w:color="auto" w:fill="DBE3E6"/>
      </w:tcPr>
    </w:tblStylePr>
  </w:style>
  <w:style w:type="table" w:customStyle="1" w:styleId="Table4">
    <w:name w:val="Table 4"/>
    <w:basedOn w:val="TableNormal"/>
    <w:rsid w:val="00C823A0"/>
    <w:rPr>
      <w:rFonts w:ascii="Verdana" w:hAnsi="Verdana"/>
    </w:rPr>
    <w:tblPr>
      <w:tblInd w:w="108" w:type="dxa"/>
      <w:tblBorders>
        <w:top w:val="single" w:sz="4" w:space="0" w:color="828172"/>
        <w:left w:val="single" w:sz="4" w:space="0" w:color="828172"/>
        <w:bottom w:val="single" w:sz="4" w:space="0" w:color="828172"/>
        <w:right w:val="single" w:sz="4" w:space="0" w:color="828172"/>
        <w:insideH w:val="single" w:sz="4" w:space="0" w:color="828172"/>
        <w:insideV w:val="single" w:sz="4" w:space="0" w:color="828172"/>
      </w:tblBorders>
    </w:tblPr>
    <w:tblStylePr w:type="firstRow">
      <w:rPr>
        <w:color w:val="FFFFFF"/>
      </w:rPr>
      <w:tblPr/>
      <w:tcPr>
        <w:tcBorders>
          <w:top w:val="single" w:sz="4" w:space="0" w:color="828172"/>
          <w:left w:val="single" w:sz="4" w:space="0" w:color="828172"/>
          <w:bottom w:val="single" w:sz="4" w:space="0" w:color="828172"/>
          <w:right w:val="single" w:sz="4" w:space="0" w:color="828172"/>
          <w:insideH w:val="single" w:sz="4" w:space="0" w:color="828172"/>
          <w:insideV w:val="single" w:sz="4" w:space="0" w:color="828172"/>
          <w:tl2br w:val="nil"/>
          <w:tr2bl w:val="nil"/>
        </w:tcBorders>
        <w:shd w:val="clear" w:color="auto" w:fill="405E64"/>
      </w:tcPr>
    </w:tblStylePr>
    <w:tblStylePr w:type="firstCol">
      <w:rPr>
        <w:color w:val="FFFFFF"/>
      </w:rPr>
      <w:tblPr/>
      <w:tcPr>
        <w:tcBorders>
          <w:top w:val="single" w:sz="4" w:space="0" w:color="DBE3E6"/>
          <w:left w:val="single" w:sz="4" w:space="0" w:color="DBE3E6"/>
          <w:bottom w:val="single" w:sz="4" w:space="0" w:color="DBE3E6"/>
          <w:right w:val="single" w:sz="4" w:space="0" w:color="DBE3E6"/>
          <w:insideH w:val="nil"/>
          <w:insideV w:val="nil"/>
          <w:tl2br w:val="nil"/>
          <w:tr2bl w:val="nil"/>
        </w:tcBorders>
        <w:shd w:val="clear" w:color="auto" w:fill="405E64"/>
      </w:tcPr>
    </w:tblStylePr>
  </w:style>
  <w:style w:type="table" w:customStyle="1" w:styleId="Table3">
    <w:name w:val="Table 3"/>
    <w:basedOn w:val="TableNormal"/>
    <w:rsid w:val="00145959"/>
    <w:rPr>
      <w:rFonts w:ascii="Verdana" w:hAnsi="Verdana"/>
    </w:rPr>
    <w:tblPr>
      <w:tblInd w:w="108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BE3E6"/>
    </w:tcPr>
    <w:tblStylePr w:type="firstRow">
      <w:rPr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  <w:tl2br w:val="nil"/>
          <w:tr2bl w:val="nil"/>
        </w:tcBorders>
        <w:shd w:val="clear" w:color="auto" w:fill="405E64"/>
      </w:tcPr>
    </w:tblStylePr>
  </w:style>
  <w:style w:type="paragraph" w:customStyle="1" w:styleId="HeaderOdd">
    <w:name w:val="Header Odd"/>
    <w:basedOn w:val="Header"/>
    <w:rsid w:val="00731BE6"/>
    <w:pPr>
      <w:jc w:val="left"/>
    </w:pPr>
  </w:style>
  <w:style w:type="paragraph" w:customStyle="1" w:styleId="IconRight">
    <w:name w:val="IconRight"/>
    <w:basedOn w:val="Normal"/>
    <w:rsid w:val="00E37DA2"/>
    <w:pPr>
      <w:framePr w:w="1429" w:h="907" w:hSpace="2268" w:wrap="around" w:vAnchor="page" w:hAnchor="page" w:xAlign="outside" w:y="313"/>
      <w:jc w:val="right"/>
    </w:pPr>
  </w:style>
  <w:style w:type="numbering" w:customStyle="1" w:styleId="Listfeature">
    <w:name w:val="List feature"/>
    <w:basedOn w:val="NoList"/>
    <w:semiHidden/>
    <w:rsid w:val="00662D9D"/>
    <w:pPr>
      <w:numPr>
        <w:numId w:val="8"/>
      </w:numPr>
    </w:pPr>
  </w:style>
  <w:style w:type="numbering" w:customStyle="1" w:styleId="Listtable">
    <w:name w:val="List table"/>
    <w:basedOn w:val="NoList"/>
    <w:semiHidden/>
    <w:rsid w:val="00E0515F"/>
    <w:pPr>
      <w:numPr>
        <w:numId w:val="11"/>
      </w:numPr>
    </w:pPr>
  </w:style>
  <w:style w:type="table" w:customStyle="1" w:styleId="Table2">
    <w:name w:val="Table 2"/>
    <w:basedOn w:val="TableNormal"/>
    <w:rsid w:val="00702D66"/>
    <w:rPr>
      <w:rFonts w:ascii="Verdana" w:hAnsi="Verdana"/>
    </w:rPr>
    <w:tblPr>
      <w:tblInd w:w="108" w:type="dxa"/>
      <w:tblBorders>
        <w:top w:val="single" w:sz="4" w:space="0" w:color="405E64"/>
        <w:left w:val="single" w:sz="4" w:space="0" w:color="405E64"/>
        <w:bottom w:val="single" w:sz="4" w:space="0" w:color="405E64"/>
        <w:right w:val="single" w:sz="4" w:space="0" w:color="405E64"/>
        <w:insideH w:val="single" w:sz="4" w:space="0" w:color="405E64"/>
        <w:insideV w:val="single" w:sz="4" w:space="0" w:color="405E64"/>
      </w:tblBorders>
    </w:tblPr>
  </w:style>
  <w:style w:type="paragraph" w:styleId="TOC2">
    <w:name w:val="toc 2"/>
    <w:next w:val="TOC3"/>
    <w:uiPriority w:val="39"/>
    <w:rsid w:val="00E94D68"/>
    <w:pPr>
      <w:tabs>
        <w:tab w:val="right" w:pos="8789"/>
      </w:tabs>
      <w:spacing w:before="60" w:after="60" w:line="260" w:lineRule="atLeast"/>
      <w:ind w:left="425" w:right="284"/>
    </w:pPr>
    <w:rPr>
      <w:rFonts w:ascii="Verdana" w:hAnsi="Verdana"/>
      <w:noProof/>
      <w:sz w:val="22"/>
      <w:lang w:eastAsia="en-US"/>
    </w:rPr>
  </w:style>
  <w:style w:type="paragraph" w:styleId="TOC3">
    <w:name w:val="toc 3"/>
    <w:next w:val="Normal"/>
    <w:uiPriority w:val="39"/>
    <w:rsid w:val="00E94D68"/>
    <w:pPr>
      <w:tabs>
        <w:tab w:val="right" w:pos="8789"/>
      </w:tabs>
      <w:spacing w:before="60" w:after="60" w:line="280" w:lineRule="atLeast"/>
      <w:ind w:left="709" w:right="284"/>
    </w:pPr>
    <w:rPr>
      <w:rFonts w:ascii="Verdana" w:hAnsi="Verdana"/>
      <w:noProof/>
      <w:sz w:val="22"/>
      <w:lang w:eastAsia="en-US"/>
    </w:rPr>
  </w:style>
  <w:style w:type="paragraph" w:customStyle="1" w:styleId="Contents">
    <w:name w:val="Contents"/>
    <w:next w:val="TOC1"/>
    <w:qFormat/>
    <w:rsid w:val="00E94D68"/>
    <w:pPr>
      <w:pBdr>
        <w:bottom w:val="single" w:sz="12" w:space="1" w:color="405E64"/>
      </w:pBdr>
      <w:shd w:val="clear" w:color="auto" w:fill="405E64"/>
      <w:spacing w:after="240" w:line="420" w:lineRule="atLeast"/>
      <w:ind w:left="28" w:right="284"/>
      <w:outlineLvl w:val="0"/>
    </w:pPr>
    <w:rPr>
      <w:rFonts w:ascii="Verdana" w:hAnsi="Verdana" w:cs="Trebuchet MS"/>
      <w:b/>
      <w:bCs/>
      <w:color w:val="FFFFFF"/>
      <w:sz w:val="32"/>
      <w:szCs w:val="32"/>
      <w:lang w:eastAsia="en-US"/>
    </w:rPr>
  </w:style>
  <w:style w:type="paragraph" w:customStyle="1" w:styleId="Footereven">
    <w:name w:val="Footer even"/>
    <w:basedOn w:val="Footer"/>
    <w:rsid w:val="00FF3F3D"/>
    <w:pPr>
      <w:jc w:val="right"/>
    </w:pPr>
  </w:style>
  <w:style w:type="paragraph" w:customStyle="1" w:styleId="Chapternumber">
    <w:name w:val="Chapter number"/>
    <w:basedOn w:val="Unithead"/>
    <w:qFormat/>
    <w:rsid w:val="00C30CCD"/>
    <w:rPr>
      <w:b w:val="0"/>
    </w:rPr>
  </w:style>
  <w:style w:type="paragraph" w:customStyle="1" w:styleId="Alphalist">
    <w:name w:val="Alpha list"/>
    <w:qFormat/>
    <w:rsid w:val="00F95DBC"/>
    <w:pPr>
      <w:numPr>
        <w:numId w:val="2"/>
      </w:numPr>
      <w:tabs>
        <w:tab w:val="clear" w:pos="794"/>
        <w:tab w:val="left" w:pos="1361"/>
      </w:tabs>
      <w:spacing w:before="80" w:after="60" w:line="240" w:lineRule="atLeast"/>
      <w:ind w:left="1361"/>
    </w:pPr>
    <w:rPr>
      <w:rFonts w:ascii="Verdana" w:hAnsi="Verdana"/>
      <w:szCs w:val="24"/>
    </w:rPr>
  </w:style>
  <w:style w:type="numbering" w:customStyle="1" w:styleId="Listalpha">
    <w:name w:val="List alpha"/>
    <w:basedOn w:val="NoList"/>
    <w:semiHidden/>
    <w:rsid w:val="00662D9D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662D9D"/>
    <w:pPr>
      <w:numPr>
        <w:numId w:val="3"/>
      </w:numPr>
    </w:pPr>
  </w:style>
  <w:style w:type="paragraph" w:customStyle="1" w:styleId="Icon">
    <w:name w:val="Icon"/>
    <w:rsid w:val="00A44494"/>
    <w:pPr>
      <w:framePr w:w="1429" w:h="907" w:hSpace="2268" w:wrap="around" w:vAnchor="page" w:hAnchor="page" w:xAlign="outside" w:y="313"/>
    </w:pPr>
    <w:rPr>
      <w:sz w:val="24"/>
      <w:szCs w:val="24"/>
      <w:lang w:eastAsia="en-US"/>
    </w:rPr>
  </w:style>
  <w:style w:type="paragraph" w:customStyle="1" w:styleId="Sourcetext">
    <w:name w:val="Source text"/>
    <w:basedOn w:val="Normal"/>
    <w:qFormat/>
    <w:rsid w:val="00A30534"/>
    <w:pPr>
      <w:autoSpaceDE w:val="0"/>
      <w:autoSpaceDN w:val="0"/>
      <w:adjustRightInd w:val="0"/>
      <w:spacing w:before="120" w:after="120"/>
    </w:pPr>
    <w:rPr>
      <w:rFonts w:ascii="Verdana" w:hAnsi="Verdana" w:cs="MyriadPro-Regular"/>
      <w:i/>
      <w:sz w:val="20"/>
      <w:szCs w:val="20"/>
      <w:lang w:eastAsia="en-GB"/>
    </w:rPr>
  </w:style>
  <w:style w:type="paragraph" w:customStyle="1" w:styleId="tabletexthd">
    <w:name w:val="table text hd"/>
    <w:rsid w:val="0010147D"/>
    <w:pPr>
      <w:spacing w:before="120" w:after="60" w:line="260" w:lineRule="atLeast"/>
    </w:pPr>
    <w:rPr>
      <w:rFonts w:ascii="Verdana" w:hAnsi="Verdana"/>
      <w:b/>
      <w:color w:val="FFFFFF"/>
      <w:szCs w:val="22"/>
      <w:lang w:eastAsia="en-US"/>
    </w:rPr>
  </w:style>
  <w:style w:type="character" w:customStyle="1" w:styleId="textbulletsChar">
    <w:name w:val="text bullets Char"/>
    <w:link w:val="textbullets"/>
    <w:rsid w:val="0010147D"/>
    <w:rPr>
      <w:rFonts w:ascii="Verdana" w:hAnsi="Verdana"/>
      <w:szCs w:val="24"/>
      <w:lang w:val="en-GB" w:bidi="ar-SA"/>
    </w:rPr>
  </w:style>
  <w:style w:type="paragraph" w:customStyle="1" w:styleId="text-bold">
    <w:name w:val="text-bold"/>
    <w:basedOn w:val="text"/>
    <w:next w:val="text"/>
    <w:rsid w:val="0010147D"/>
    <w:pPr>
      <w:spacing w:before="60" w:line="260" w:lineRule="exact"/>
      <w:ind w:left="0"/>
    </w:pPr>
    <w:rPr>
      <w:rFonts w:cs="Times New Roman"/>
      <w:b/>
      <w:color w:val="000000"/>
      <w:sz w:val="18"/>
      <w:szCs w:val="20"/>
    </w:rPr>
  </w:style>
  <w:style w:type="paragraph" w:styleId="ListNumber">
    <w:name w:val="List Number"/>
    <w:basedOn w:val="Normal"/>
    <w:rsid w:val="0010147D"/>
    <w:pPr>
      <w:tabs>
        <w:tab w:val="num" w:pos="360"/>
      </w:tabs>
      <w:spacing w:line="260" w:lineRule="atLeast"/>
      <w:ind w:left="360" w:hanging="360"/>
    </w:pPr>
    <w:rPr>
      <w:rFonts w:ascii="Verdana" w:hAnsi="Verdana"/>
      <w:sz w:val="18"/>
      <w:szCs w:val="20"/>
    </w:rPr>
  </w:style>
  <w:style w:type="paragraph" w:customStyle="1" w:styleId="Pa8">
    <w:name w:val="Pa8"/>
    <w:basedOn w:val="Normal"/>
    <w:next w:val="Normal"/>
    <w:uiPriority w:val="99"/>
    <w:rsid w:val="00377CAC"/>
    <w:pPr>
      <w:autoSpaceDE w:val="0"/>
      <w:autoSpaceDN w:val="0"/>
      <w:adjustRightInd w:val="0"/>
      <w:spacing w:line="201" w:lineRule="atLeast"/>
    </w:pPr>
    <w:rPr>
      <w:rFonts w:ascii="Myriad Pro Light" w:eastAsia="Calibri" w:hAnsi="Myriad Pro Light"/>
    </w:rPr>
  </w:style>
  <w:style w:type="character" w:styleId="CommentReference">
    <w:name w:val="annotation reference"/>
    <w:uiPriority w:val="99"/>
    <w:rsid w:val="003E69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E693A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rsid w:val="003E693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E693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E693A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3E693A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3E693A"/>
    <w:rPr>
      <w:rFonts w:ascii="Tahoma" w:hAnsi="Tahoma" w:cs="Tahoma"/>
      <w:sz w:val="16"/>
      <w:szCs w:val="16"/>
      <w:lang w:eastAsia="en-US"/>
    </w:rPr>
  </w:style>
  <w:style w:type="paragraph" w:customStyle="1" w:styleId="Text0">
    <w:name w:val="Text"/>
    <w:basedOn w:val="Normal"/>
    <w:link w:val="TextChar"/>
    <w:rsid w:val="003F4E77"/>
    <w:pPr>
      <w:spacing w:before="40" w:after="40" w:line="200" w:lineRule="atLeast"/>
    </w:pPr>
    <w:rPr>
      <w:rFonts w:ascii="Trebuchet MS" w:eastAsia="Calibri" w:hAnsi="Trebuchet MS"/>
      <w:sz w:val="16"/>
      <w:szCs w:val="16"/>
      <w:lang w:val="x-none"/>
    </w:rPr>
  </w:style>
  <w:style w:type="character" w:customStyle="1" w:styleId="TextChar">
    <w:name w:val="Text Char"/>
    <w:link w:val="Text0"/>
    <w:locked/>
    <w:rsid w:val="003F4E77"/>
    <w:rPr>
      <w:rFonts w:ascii="Trebuchet MS" w:eastAsia="Calibri" w:hAnsi="Trebuchet MS" w:cs="Trebuchet MS"/>
      <w:sz w:val="16"/>
      <w:szCs w:val="16"/>
      <w:lang w:eastAsia="en-US"/>
    </w:rPr>
  </w:style>
  <w:style w:type="character" w:customStyle="1" w:styleId="FooterChar">
    <w:name w:val="Footer Char"/>
    <w:link w:val="Footer"/>
    <w:uiPriority w:val="99"/>
    <w:locked/>
    <w:rsid w:val="003F4E77"/>
    <w:rPr>
      <w:rFonts w:ascii="Verdana" w:hAnsi="Verdana"/>
      <w:sz w:val="14"/>
      <w:szCs w:val="24"/>
      <w:lang w:val="en-GB" w:eastAsia="en-US" w:bidi="ar-SA"/>
    </w:rPr>
  </w:style>
  <w:style w:type="paragraph" w:customStyle="1" w:styleId="guideheadB">
    <w:name w:val="guide head B"/>
    <w:next w:val="Text0"/>
    <w:rsid w:val="008567DD"/>
    <w:pPr>
      <w:pBdr>
        <w:top w:val="single" w:sz="12" w:space="3" w:color="AACAE6"/>
        <w:bottom w:val="single" w:sz="12" w:space="3" w:color="AACAE6"/>
      </w:pBdr>
      <w:spacing w:before="300" w:after="120" w:line="300" w:lineRule="atLeast"/>
    </w:pPr>
    <w:rPr>
      <w:rFonts w:ascii="Verdana" w:hAnsi="Verdana"/>
      <w:b/>
      <w:sz w:val="32"/>
      <w:szCs w:val="24"/>
      <w:lang w:eastAsia="en-US"/>
    </w:rPr>
  </w:style>
  <w:style w:type="paragraph" w:customStyle="1" w:styleId="textindented">
    <w:name w:val="text indented"/>
    <w:next w:val="Normal"/>
    <w:uiPriority w:val="99"/>
    <w:rsid w:val="008567DD"/>
    <w:pPr>
      <w:spacing w:before="60" w:after="60" w:line="260" w:lineRule="atLeast"/>
      <w:ind w:left="357" w:hanging="357"/>
    </w:pPr>
    <w:rPr>
      <w:rFonts w:ascii="Verdana" w:hAnsi="Verdana"/>
      <w:color w:val="000000"/>
      <w:szCs w:val="22"/>
    </w:rPr>
  </w:style>
  <w:style w:type="character" w:customStyle="1" w:styleId="HeaderChar">
    <w:name w:val="Header Char"/>
    <w:link w:val="Header"/>
    <w:rsid w:val="000B7DAE"/>
    <w:rPr>
      <w:rFonts w:ascii="Verdana" w:hAnsi="Verdana"/>
      <w:b/>
      <w:color w:val="405E64"/>
      <w:sz w:val="19"/>
      <w:szCs w:val="24"/>
      <w:lang w:val="en-GB" w:eastAsia="en-US" w:bidi="ar-SA"/>
    </w:rPr>
  </w:style>
  <w:style w:type="paragraph" w:customStyle="1" w:styleId="Bodytext">
    <w:name w:val="Body text"/>
    <w:qFormat/>
    <w:rsid w:val="000B7DAE"/>
    <w:pPr>
      <w:spacing w:before="80" w:after="60" w:line="240" w:lineRule="atLeast"/>
    </w:pPr>
    <w:rPr>
      <w:rFonts w:ascii="Verdana" w:hAnsi="Verdana" w:cs="Arial"/>
      <w:szCs w:val="24"/>
      <w:lang w:eastAsia="en-US"/>
    </w:rPr>
  </w:style>
  <w:style w:type="paragraph" w:customStyle="1" w:styleId="Front1">
    <w:name w:val="Front1"/>
    <w:qFormat/>
    <w:rsid w:val="000B7DAE"/>
    <w:pPr>
      <w:spacing w:before="5280" w:after="120"/>
      <w:ind w:left="-284" w:right="-284"/>
    </w:pPr>
    <w:rPr>
      <w:rFonts w:ascii="Verdana Bold" w:hAnsi="Verdana Bold"/>
      <w:b/>
      <w:color w:val="002656"/>
      <w:sz w:val="36"/>
      <w:szCs w:val="48"/>
    </w:rPr>
  </w:style>
  <w:style w:type="paragraph" w:customStyle="1" w:styleId="Front0">
    <w:name w:val="Front0"/>
    <w:basedOn w:val="Normal"/>
    <w:qFormat/>
    <w:rsid w:val="000B7DAE"/>
    <w:pPr>
      <w:spacing w:after="120"/>
      <w:ind w:left="7201" w:right="-284"/>
    </w:pPr>
    <w:rPr>
      <w:rFonts w:ascii="Verdana" w:hAnsi="Verdana"/>
      <w:b/>
      <w:color w:val="002656"/>
      <w:sz w:val="76"/>
      <w:szCs w:val="76"/>
      <w:lang w:eastAsia="en-GB"/>
    </w:rPr>
  </w:style>
  <w:style w:type="paragraph" w:customStyle="1" w:styleId="Front2">
    <w:name w:val="Front2"/>
    <w:next w:val="Normal"/>
    <w:qFormat/>
    <w:rsid w:val="000B7DAE"/>
    <w:pPr>
      <w:pBdr>
        <w:top w:val="single" w:sz="4" w:space="5" w:color="102D51"/>
        <w:bottom w:val="single" w:sz="4" w:space="5" w:color="102D51"/>
      </w:pBdr>
      <w:spacing w:before="120" w:after="60" w:line="280" w:lineRule="exact"/>
      <w:ind w:left="-284" w:right="-284"/>
    </w:pPr>
    <w:rPr>
      <w:rFonts w:ascii="Verdana" w:hAnsi="Verdana"/>
      <w:b/>
      <w:color w:val="002656"/>
      <w:sz w:val="28"/>
      <w:szCs w:val="50"/>
    </w:rPr>
  </w:style>
  <w:style w:type="character" w:styleId="Hyperlink">
    <w:name w:val="Hyperlink"/>
    <w:rsid w:val="00ED3EC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7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qualifications.pearson.com/content/dam/pdf/GCSE/History/2016/Teaching-and-learning-materials/gcse-history-changes-for-2025-and-2026-summary-guidance.pdf" TargetMode="Externa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cc434d7-97d0-47d3-b5c5-14fe0e33e34b}" enabled="0" method="" siteId="{8cc434d7-97d0-47d3-b5c5-14fe0e33e34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720</Words>
  <Characters>4108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GCSE Getting Started</vt:lpstr>
      <vt:lpstr>GCSE Getting Started</vt:lpstr>
    </vt:vector>
  </TitlesOfParts>
  <Company>Pearson Education</Company>
  <LinksUpToDate>false</LinksUpToDate>
  <CharactersWithSpaces>4819</CharactersWithSpaces>
  <SharedDoc>false</SharedDoc>
  <HLinks>
    <vt:vector size="6" baseType="variant">
      <vt:variant>
        <vt:i4>1376340</vt:i4>
      </vt:variant>
      <vt:variant>
        <vt:i4>0</vt:i4>
      </vt:variant>
      <vt:variant>
        <vt:i4>0</vt:i4>
      </vt:variant>
      <vt:variant>
        <vt:i4>5</vt:i4>
      </vt:variant>
      <vt:variant>
        <vt:lpwstr>https://qualifications.pearson.com/content/dam/pdf/GCSE/History/2016/Teaching-and-learning-materials/gcse-history-changes-for-2025-and-2026-summary-guidance.pdf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GCSE Getting Started</dc:title>
  <dc:subject/>
  <dc:creator>regan_c</dc:creator>
  <cp:keywords/>
  <cp:lastModifiedBy>Mark Anstee</cp:lastModifiedBy>
  <cp:revision>4</cp:revision>
  <cp:lastPrinted>2014-03-24T13:35:00Z</cp:lastPrinted>
  <dcterms:created xsi:type="dcterms:W3CDTF">2024-12-17T16:56:00Z</dcterms:created>
  <dcterms:modified xsi:type="dcterms:W3CDTF">2024-12-17T17:11:00Z</dcterms:modified>
</cp:coreProperties>
</file>