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937B7" w14:textId="77777777" w:rsidR="00E61753" w:rsidRPr="00671700" w:rsidRDefault="00E61753" w:rsidP="00E61753">
      <w:pPr>
        <w:pStyle w:val="Front0"/>
      </w:pPr>
      <w:r>
        <w:t>Option B1 scheme of work</w:t>
      </w:r>
    </w:p>
    <w:p w14:paraId="135B2CA4" w14:textId="77777777" w:rsidR="00E61753" w:rsidRPr="00486F63" w:rsidRDefault="00E61753" w:rsidP="0036219C">
      <w:pPr>
        <w:pStyle w:val="Front1"/>
        <w:tabs>
          <w:tab w:val="right" w:pos="14175"/>
        </w:tabs>
        <w:spacing w:before="6000"/>
      </w:pPr>
      <w:r w:rsidRPr="00E61753">
        <w:rPr>
          <w:b w:val="0"/>
        </w:rPr>
        <w:t xml:space="preserve">Anglo-Saxon and Norman England, c1060–88 </w:t>
      </w:r>
      <w:r>
        <w:br/>
      </w:r>
      <w:r w:rsidRPr="00D61977">
        <w:rPr>
          <w:sz w:val="28"/>
          <w:szCs w:val="28"/>
        </w:rPr>
        <w:t>GCSE (9-1) History</w:t>
      </w:r>
      <w:r w:rsidR="0036219C">
        <w:rPr>
          <w:sz w:val="28"/>
          <w:szCs w:val="28"/>
        </w:rPr>
        <w:t xml:space="preserve"> </w:t>
      </w:r>
      <w:r w:rsidR="0036219C">
        <w:rPr>
          <w:sz w:val="28"/>
          <w:szCs w:val="28"/>
        </w:rPr>
        <w:tab/>
        <w:t>(v3 2024)</w:t>
      </w:r>
    </w:p>
    <w:p w14:paraId="2BCC5C28" w14:textId="77777777" w:rsidR="00E61753" w:rsidRPr="00D61977" w:rsidRDefault="00E61753" w:rsidP="00E61753">
      <w:pPr>
        <w:pStyle w:val="Front2"/>
        <w:rPr>
          <w:sz w:val="24"/>
          <w:szCs w:val="24"/>
        </w:rPr>
      </w:pPr>
      <w:r w:rsidRPr="00D61977">
        <w:rPr>
          <w:sz w:val="24"/>
          <w:szCs w:val="24"/>
        </w:rPr>
        <w:t>Pearson Edexcel Level 1/Level 2 GCSE (9-1) in History (1HI0)</w:t>
      </w:r>
    </w:p>
    <w:p w14:paraId="59F8366F" w14:textId="77777777" w:rsidR="00E61753" w:rsidRDefault="00E61753" w:rsidP="00E61753">
      <w:pPr>
        <w:pStyle w:val="Bodytext"/>
        <w:rPr>
          <w:lang w:eastAsia="en-GB"/>
        </w:rPr>
        <w:sectPr w:rsidR="00E61753" w:rsidSect="00475133">
          <w:headerReference w:type="default" r:id="rId9"/>
          <w:footerReference w:type="default" r:id="rId10"/>
          <w:headerReference w:type="first" r:id="rId11"/>
          <w:footerReference w:type="first" r:id="rId12"/>
          <w:pgSz w:w="16840" w:h="11900" w:orient="landscape" w:code="9"/>
          <w:pgMar w:top="1134" w:right="1134" w:bottom="1134" w:left="1134" w:header="567" w:footer="425" w:gutter="0"/>
          <w:cols w:space="708"/>
        </w:sectPr>
      </w:pPr>
    </w:p>
    <w:p w14:paraId="224D1A3E" w14:textId="77777777" w:rsidR="002257EF" w:rsidRDefault="002257EF" w:rsidP="002257EF">
      <w:pPr>
        <w:pStyle w:val="Ahead"/>
      </w:pPr>
      <w:r>
        <w:lastRenderedPageBreak/>
        <w:t xml:space="preserve">Introduction </w:t>
      </w:r>
    </w:p>
    <w:p w14:paraId="02F46ECE" w14:textId="77777777" w:rsidR="0036219C" w:rsidRDefault="0036219C" w:rsidP="0036219C">
      <w:pPr>
        <w:pStyle w:val="text"/>
      </w:pPr>
      <w:bookmarkStart w:id="0" w:name="_Hlk181193104"/>
      <w:r w:rsidRPr="00A154DD">
        <w:t xml:space="preserve">This scheme of work has been updated to </w:t>
      </w:r>
      <w:r>
        <w:t>match Issue 6 of the</w:t>
      </w:r>
      <w:r w:rsidRPr="00A154DD">
        <w:t xml:space="preserve"> specification. Summary guidance on the changes can be found </w:t>
      </w:r>
      <w:hyperlink r:id="rId13" w:history="1">
        <w:r w:rsidRPr="00A154DD">
          <w:rPr>
            <w:rStyle w:val="Hyperlink"/>
          </w:rPr>
          <w:t>here</w:t>
        </w:r>
      </w:hyperlink>
      <w:r w:rsidRPr="00A154DD">
        <w:t>.</w:t>
      </w:r>
    </w:p>
    <w:p w14:paraId="764B83BD" w14:textId="77777777" w:rsidR="0036219C" w:rsidRDefault="0036219C" w:rsidP="0036219C">
      <w:pPr>
        <w:pStyle w:val="text"/>
      </w:pPr>
    </w:p>
    <w:bookmarkEnd w:id="0"/>
    <w:p w14:paraId="4A09DEA0" w14:textId="77777777" w:rsidR="00F91692" w:rsidRDefault="002229E7" w:rsidP="002229E7">
      <w:pPr>
        <w:pStyle w:val="text"/>
        <w:rPr>
          <w:szCs w:val="18"/>
        </w:rPr>
      </w:pPr>
      <w:r w:rsidRPr="00237473">
        <w:t xml:space="preserve">This document provides a sample </w:t>
      </w:r>
      <w:r w:rsidR="008567DD">
        <w:t xml:space="preserve">outline </w:t>
      </w:r>
      <w:r w:rsidRPr="00237473">
        <w:t xml:space="preserve">scheme of work for </w:t>
      </w:r>
      <w:r w:rsidR="00C25E05">
        <w:rPr>
          <w:rFonts w:cs="Verdana"/>
          <w:b/>
          <w:bCs/>
          <w:szCs w:val="20"/>
        </w:rPr>
        <w:t>Anglo-Saxon and Norman England, c1060</w:t>
      </w:r>
      <w:r w:rsidR="00416835">
        <w:rPr>
          <w:rFonts w:cs="Verdana"/>
          <w:b/>
          <w:bCs/>
          <w:szCs w:val="20"/>
        </w:rPr>
        <w:t>–</w:t>
      </w:r>
      <w:r w:rsidR="00C25E05">
        <w:rPr>
          <w:rFonts w:cs="Verdana"/>
          <w:b/>
          <w:bCs/>
          <w:szCs w:val="20"/>
        </w:rPr>
        <w:t>88</w:t>
      </w:r>
      <w:r w:rsidR="00F91692">
        <w:rPr>
          <w:szCs w:val="18"/>
        </w:rPr>
        <w:t>.</w:t>
      </w:r>
    </w:p>
    <w:p w14:paraId="77AE7F5B" w14:textId="77777777" w:rsidR="002229E7" w:rsidRPr="00237473" w:rsidRDefault="00F91692" w:rsidP="002229E7">
      <w:pPr>
        <w:pStyle w:val="text"/>
      </w:pPr>
      <w:r>
        <w:t xml:space="preserve">This is intended </w:t>
      </w:r>
      <w:r w:rsidRPr="00237473">
        <w:t>as an example approach only and is not prescriptive</w:t>
      </w:r>
      <w:r>
        <w:t>: it</w:t>
      </w:r>
      <w:r w:rsidR="002229E7" w:rsidRPr="00237473">
        <w:t xml:space="preserve"> should be adapted by </w:t>
      </w:r>
      <w:r>
        <w:t xml:space="preserve">schools </w:t>
      </w:r>
      <w:r w:rsidR="002229E7" w:rsidRPr="00237473">
        <w:t xml:space="preserve">to fit their timetabling and staffing arrangements. </w:t>
      </w:r>
    </w:p>
    <w:p w14:paraId="7C58C116" w14:textId="77777777" w:rsidR="00316446" w:rsidRDefault="002229E7" w:rsidP="002229E7">
      <w:pPr>
        <w:pStyle w:val="text"/>
      </w:pPr>
      <w:r w:rsidRPr="00237473">
        <w:t xml:space="preserve">The scheme assumes </w:t>
      </w:r>
      <w:r w:rsidR="00316446">
        <w:t>1</w:t>
      </w:r>
      <w:r w:rsidR="008567DD">
        <w:t>2</w:t>
      </w:r>
      <w:r w:rsidRPr="00237473">
        <w:t xml:space="preserve"> teaching weeks for </w:t>
      </w:r>
      <w:r w:rsidR="008567DD">
        <w:t xml:space="preserve">the </w:t>
      </w:r>
      <w:r w:rsidR="00882486">
        <w:t>British depth</w:t>
      </w:r>
      <w:r w:rsidR="008567DD">
        <w:t xml:space="preserve"> study</w:t>
      </w:r>
      <w:r w:rsidR="00882486">
        <w:t>.</w:t>
      </w:r>
    </w:p>
    <w:p w14:paraId="73F47315" w14:textId="77777777" w:rsidR="004C3BF4" w:rsidRDefault="004C3BF4" w:rsidP="004C3BF4">
      <w:pPr>
        <w:pStyle w:val="text"/>
      </w:pPr>
      <w:r w:rsidRPr="00316446">
        <w:t xml:space="preserve">The separate </w:t>
      </w:r>
      <w:r w:rsidRPr="00845780">
        <w:rPr>
          <w:b/>
        </w:rPr>
        <w:t>Course planner</w:t>
      </w:r>
      <w:r w:rsidRPr="00316446">
        <w:t xml:space="preserve"> document provides a range of examples of delivery options that can be used for planning alongside this document.</w:t>
      </w:r>
    </w:p>
    <w:p w14:paraId="03EFE3D8" w14:textId="77777777" w:rsidR="004C3BF4" w:rsidRPr="00E45736" w:rsidRDefault="004C3BF4" w:rsidP="004C3BF4">
      <w:pPr>
        <w:pStyle w:val="text"/>
      </w:pPr>
      <w:r>
        <w:t xml:space="preserve">The separate </w:t>
      </w:r>
      <w:r>
        <w:rPr>
          <w:b/>
        </w:rPr>
        <w:t xml:space="preserve">Topic booklet </w:t>
      </w:r>
      <w:r>
        <w:t>for Option B1 includes illustrative exemplification of content.</w:t>
      </w:r>
    </w:p>
    <w:p w14:paraId="250488A6" w14:textId="77777777" w:rsidR="00007504" w:rsidRDefault="00007504" w:rsidP="00007504"/>
    <w:p w14:paraId="39FAFE1B" w14:textId="77777777" w:rsidR="00CE495F" w:rsidRDefault="00CE495F" w:rsidP="00CE495F">
      <w:pPr>
        <w:pStyle w:val="text"/>
      </w:pPr>
      <w:r>
        <w:t>In adapting this scheme of work, teachers might find it useful to consider the following:</w:t>
      </w:r>
    </w:p>
    <w:p w14:paraId="6CF31551" w14:textId="77777777" w:rsidR="00CE495F" w:rsidRDefault="00CE495F" w:rsidP="00CE495F">
      <w:pPr>
        <w:pStyle w:val="textbullets"/>
      </w:pPr>
      <w:r w:rsidRPr="004001B5">
        <w:t>What</w:t>
      </w:r>
      <w:r>
        <w:t>,</w:t>
      </w:r>
      <w:r w:rsidRPr="004001B5">
        <w:t xml:space="preserve"> and how much</w:t>
      </w:r>
      <w:r>
        <w:t>,</w:t>
      </w:r>
      <w:r w:rsidRPr="004001B5">
        <w:t xml:space="preserve"> background and contextual </w:t>
      </w:r>
      <w:r>
        <w:t xml:space="preserve">material </w:t>
      </w:r>
      <w:r w:rsidRPr="004001B5">
        <w:t>needs to be covered as an introduction and overview before starting the main specification content</w:t>
      </w:r>
      <w:r>
        <w:t>.</w:t>
      </w:r>
      <w:r w:rsidR="00882486">
        <w:t xml:space="preserve"> </w:t>
      </w:r>
      <w:r w:rsidR="00882486">
        <w:rPr>
          <w:rFonts w:cs="Verdana"/>
          <w:bCs/>
          <w:szCs w:val="20"/>
        </w:rPr>
        <w:t>This is likely to depend on the school’s KS3 programme of study and the extent to which students have already developed some familiarity with this period</w:t>
      </w:r>
      <w:r w:rsidR="000864D5">
        <w:rPr>
          <w:rFonts w:cs="Verdana"/>
          <w:bCs/>
          <w:szCs w:val="20"/>
        </w:rPr>
        <w:t>.</w:t>
      </w:r>
    </w:p>
    <w:p w14:paraId="4485B784" w14:textId="77777777" w:rsidR="008567DD" w:rsidRDefault="008567DD" w:rsidP="00CE495F">
      <w:pPr>
        <w:pStyle w:val="textbullets"/>
      </w:pPr>
      <w:r>
        <w:t xml:space="preserve">The </w:t>
      </w:r>
      <w:r w:rsidR="007D198F">
        <w:t xml:space="preserve">focus of the </w:t>
      </w:r>
      <w:r>
        <w:t xml:space="preserve">question types in the assessment of the </w:t>
      </w:r>
      <w:r w:rsidR="00745018">
        <w:t xml:space="preserve">British depth </w:t>
      </w:r>
      <w:r>
        <w:t xml:space="preserve">study: </w:t>
      </w:r>
    </w:p>
    <w:p w14:paraId="58DE1CCA" w14:textId="77777777" w:rsidR="008567DD" w:rsidRDefault="00882486" w:rsidP="008567DD">
      <w:pPr>
        <w:pStyle w:val="textbullets"/>
        <w:numPr>
          <w:ilvl w:val="2"/>
          <w:numId w:val="9"/>
        </w:numPr>
      </w:pPr>
      <w:r>
        <w:t xml:space="preserve">Describe </w:t>
      </w:r>
      <w:r w:rsidR="0036219C" w:rsidRPr="0036219C">
        <w:rPr>
          <w:b/>
          <w:bCs/>
        </w:rPr>
        <w:t>one</w:t>
      </w:r>
      <w:r>
        <w:t xml:space="preserve"> feature of</w:t>
      </w:r>
      <w:r w:rsidR="008567DD">
        <w:t>...</w:t>
      </w:r>
    </w:p>
    <w:p w14:paraId="5C03696B" w14:textId="77777777" w:rsidR="00007504" w:rsidRDefault="00882486" w:rsidP="008567DD">
      <w:pPr>
        <w:pStyle w:val="textbullets"/>
        <w:numPr>
          <w:ilvl w:val="2"/>
          <w:numId w:val="9"/>
        </w:numPr>
      </w:pPr>
      <w:r>
        <w:t>Explain why...</w:t>
      </w:r>
    </w:p>
    <w:p w14:paraId="09F00744" w14:textId="77777777" w:rsidR="008567DD" w:rsidRDefault="00882486" w:rsidP="008567DD">
      <w:pPr>
        <w:pStyle w:val="textbullets"/>
        <w:numPr>
          <w:ilvl w:val="2"/>
          <w:numId w:val="9"/>
        </w:numPr>
      </w:pPr>
      <w:r>
        <w:t>‘[statement]’ How far do you agree? Explain your answer. (Any second-order concept</w:t>
      </w:r>
      <w:r w:rsidR="000864D5">
        <w:t>.</w:t>
      </w:r>
      <w:r>
        <w:t>)</w:t>
      </w:r>
    </w:p>
    <w:p w14:paraId="58536390" w14:textId="77777777" w:rsidR="00BA3CE0" w:rsidRDefault="00BA3CE0" w:rsidP="00BA3CE0">
      <w:pPr>
        <w:pStyle w:val="textbullets"/>
        <w:numPr>
          <w:ilvl w:val="0"/>
          <w:numId w:val="0"/>
        </w:numPr>
        <w:ind w:left="964" w:hanging="397"/>
      </w:pPr>
    </w:p>
    <w:p w14:paraId="121F7D6E" w14:textId="77777777" w:rsidR="00BA3CE0" w:rsidRDefault="00BA3CE0" w:rsidP="00BA3CE0">
      <w:pPr>
        <w:pStyle w:val="textbullets"/>
        <w:numPr>
          <w:ilvl w:val="0"/>
          <w:numId w:val="0"/>
        </w:numPr>
        <w:ind w:left="964" w:hanging="397"/>
        <w:sectPr w:rsidR="00BA3CE0" w:rsidSect="00E61753">
          <w:headerReference w:type="default" r:id="rId14"/>
          <w:footerReference w:type="even" r:id="rId15"/>
          <w:footerReference w:type="default" r:id="rId16"/>
          <w:pgSz w:w="16840" w:h="11900" w:orient="landscape" w:code="9"/>
          <w:pgMar w:top="1418" w:right="1418" w:bottom="1418" w:left="1134" w:header="567" w:footer="567" w:gutter="0"/>
          <w:pgNumType w:start="1"/>
          <w:cols w:space="708"/>
          <w:docGrid w:linePitch="326"/>
        </w:sectPr>
      </w:pPr>
    </w:p>
    <w:tbl>
      <w:tblPr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1102"/>
        <w:gridCol w:w="13402"/>
      </w:tblGrid>
      <w:tr w:rsidR="008567DD" w:rsidRPr="004C7F7D" w14:paraId="178B2F10" w14:textId="77777777" w:rsidTr="009D71A3">
        <w:trPr>
          <w:cantSplit/>
          <w:trHeight w:val="214"/>
          <w:tblHeader/>
        </w:trPr>
        <w:tc>
          <w:tcPr>
            <w:tcW w:w="380" w:type="pct"/>
            <w:tcBorders>
              <w:top w:val="single" w:sz="4" w:space="0" w:color="FFFFFF"/>
              <w:left w:val="single" w:sz="4" w:space="0" w:color="FFFFFF"/>
              <w:bottom w:val="single" w:sz="4" w:space="0" w:color="999999"/>
              <w:right w:val="single" w:sz="4" w:space="0" w:color="FFFFFF"/>
            </w:tcBorders>
            <w:shd w:val="clear" w:color="auto" w:fill="999999"/>
          </w:tcPr>
          <w:p w14:paraId="5D1BB0F0" w14:textId="77777777" w:rsidR="008567DD" w:rsidRPr="00F532F8" w:rsidRDefault="008567DD" w:rsidP="009D71A3">
            <w:pPr>
              <w:pStyle w:val="tabletexthd"/>
              <w:spacing w:before="60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lastRenderedPageBreak/>
              <w:t>Week</w:t>
            </w:r>
          </w:p>
        </w:tc>
        <w:tc>
          <w:tcPr>
            <w:tcW w:w="4620" w:type="pct"/>
            <w:tcBorders>
              <w:top w:val="single" w:sz="4" w:space="0" w:color="FFFFFF"/>
              <w:left w:val="single" w:sz="4" w:space="0" w:color="FFFFFF"/>
              <w:bottom w:val="single" w:sz="4" w:space="0" w:color="999999"/>
              <w:right w:val="single" w:sz="4" w:space="0" w:color="FFFFFF"/>
            </w:tcBorders>
            <w:shd w:val="clear" w:color="auto" w:fill="999999"/>
          </w:tcPr>
          <w:p w14:paraId="0A5FC813" w14:textId="77777777" w:rsidR="008567DD" w:rsidRDefault="008567DD" w:rsidP="009D71A3">
            <w:pPr>
              <w:pStyle w:val="tabletexthd"/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Specification content</w:t>
            </w:r>
          </w:p>
        </w:tc>
      </w:tr>
      <w:tr w:rsidR="00A07B51" w:rsidRPr="002B4ED0" w14:paraId="0A470053" w14:textId="77777777" w:rsidTr="009D71A3">
        <w:trPr>
          <w:cantSplit/>
          <w:trHeight w:val="400"/>
        </w:trPr>
        <w:tc>
          <w:tcPr>
            <w:tcW w:w="38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51992817" w14:textId="77777777" w:rsidR="00A07B51" w:rsidRPr="00007504" w:rsidRDefault="00A07B51" w:rsidP="009D71A3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4620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7BA3EBCB" w14:textId="77777777" w:rsidR="00CB422F" w:rsidRPr="005E660E" w:rsidRDefault="00ED2DD5" w:rsidP="00A56FE6">
            <w:pPr>
              <w:pStyle w:val="Tabletextbullets"/>
              <w:rPr>
                <w:i/>
              </w:rPr>
            </w:pPr>
            <w:r w:rsidRPr="005E660E">
              <w:rPr>
                <w:i/>
              </w:rPr>
              <w:t>Introduction and overview of Anglo-Saxon and Anglo-Norman England, 1060</w:t>
            </w:r>
            <w:r w:rsidR="00011594" w:rsidRPr="005E660E">
              <w:rPr>
                <w:i/>
              </w:rPr>
              <w:t>–</w:t>
            </w:r>
            <w:r w:rsidRPr="005E660E">
              <w:rPr>
                <w:i/>
              </w:rPr>
              <w:t>1088</w:t>
            </w:r>
            <w:r w:rsidR="00011594" w:rsidRPr="005E660E">
              <w:rPr>
                <w:i/>
              </w:rPr>
              <w:t>.</w:t>
            </w:r>
          </w:p>
          <w:p w14:paraId="5A99CB19" w14:textId="77777777" w:rsidR="00ED2DD5" w:rsidRPr="00CB422F" w:rsidRDefault="00ED2DD5" w:rsidP="0065089D">
            <w:pPr>
              <w:pStyle w:val="Tabletextbullets"/>
              <w:numPr>
                <w:ilvl w:val="0"/>
                <w:numId w:val="0"/>
              </w:numPr>
              <w:rPr>
                <w:b/>
              </w:rPr>
            </w:pPr>
            <w:r w:rsidRPr="00CB422F">
              <w:rPr>
                <w:b/>
              </w:rPr>
              <w:t xml:space="preserve">Key </w:t>
            </w:r>
            <w:r w:rsidR="00011594">
              <w:rPr>
                <w:b/>
              </w:rPr>
              <w:t>t</w:t>
            </w:r>
            <w:r w:rsidR="00011594" w:rsidRPr="00CB422F">
              <w:rPr>
                <w:b/>
              </w:rPr>
              <w:t xml:space="preserve">opic </w:t>
            </w:r>
            <w:r w:rsidRPr="00CB422F">
              <w:rPr>
                <w:b/>
              </w:rPr>
              <w:t xml:space="preserve">1.1 Anglo-Saxon </w:t>
            </w:r>
            <w:r w:rsidR="0036219C">
              <w:rPr>
                <w:b/>
              </w:rPr>
              <w:t xml:space="preserve">government, economy and </w:t>
            </w:r>
            <w:r w:rsidR="00011594">
              <w:rPr>
                <w:b/>
              </w:rPr>
              <w:t>s</w:t>
            </w:r>
            <w:r w:rsidR="00011594" w:rsidRPr="00CB422F">
              <w:rPr>
                <w:b/>
              </w:rPr>
              <w:t>ociety</w:t>
            </w:r>
          </w:p>
          <w:p w14:paraId="59115DC4" w14:textId="77777777" w:rsidR="00ED2DD5" w:rsidRPr="00D51DBB" w:rsidRDefault="007279BC" w:rsidP="0074441C">
            <w:pPr>
              <w:pStyle w:val="Tabletextbullets"/>
              <w:numPr>
                <w:ilvl w:val="0"/>
                <w:numId w:val="10"/>
              </w:numPr>
            </w:pPr>
            <w:r>
              <w:t xml:space="preserve">Monarchy and government. The power of the English monarchy. Earldoms, local government and the legal system. </w:t>
            </w:r>
          </w:p>
        </w:tc>
      </w:tr>
      <w:tr w:rsidR="00A07B51" w:rsidRPr="002B4ED0" w14:paraId="2344E7C5" w14:textId="77777777" w:rsidTr="009D71A3">
        <w:trPr>
          <w:cantSplit/>
          <w:trHeight w:val="77"/>
        </w:trPr>
        <w:tc>
          <w:tcPr>
            <w:tcW w:w="380" w:type="pct"/>
            <w:tcBorders>
              <w:top w:val="single" w:sz="4" w:space="0" w:color="999999"/>
            </w:tcBorders>
            <w:shd w:val="clear" w:color="auto" w:fill="auto"/>
          </w:tcPr>
          <w:p w14:paraId="60E414A4" w14:textId="77777777" w:rsidR="00A07B51" w:rsidRDefault="00A07B51" w:rsidP="009D71A3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4620" w:type="pct"/>
            <w:tcBorders>
              <w:top w:val="single" w:sz="4" w:space="0" w:color="999999"/>
            </w:tcBorders>
          </w:tcPr>
          <w:p w14:paraId="28F8C307" w14:textId="77777777" w:rsidR="00CB422F" w:rsidRDefault="0074441C" w:rsidP="00A56FE6">
            <w:pPr>
              <w:pStyle w:val="Tabletextbullets"/>
            </w:pPr>
            <w:r>
              <w:t>The economy and social system. Towns and villages.</w:t>
            </w:r>
            <w:r w:rsidR="005E660E">
              <w:t xml:space="preserve"> The influence of the Church.</w:t>
            </w:r>
          </w:p>
          <w:p w14:paraId="6A5EA926" w14:textId="77777777" w:rsidR="00BF35E2" w:rsidRDefault="00BF35E2" w:rsidP="0065089D">
            <w:pPr>
              <w:pStyle w:val="Tabletextbullets"/>
              <w:numPr>
                <w:ilvl w:val="0"/>
                <w:numId w:val="0"/>
              </w:numPr>
              <w:ind w:left="397" w:hanging="397"/>
              <w:rPr>
                <w:b/>
              </w:rPr>
            </w:pPr>
          </w:p>
          <w:p w14:paraId="4C8C0D31" w14:textId="77777777" w:rsidR="00A07B51" w:rsidRPr="00CB422F" w:rsidRDefault="007279BC" w:rsidP="0065089D">
            <w:pPr>
              <w:pStyle w:val="Tabletextbullets"/>
              <w:numPr>
                <w:ilvl w:val="0"/>
                <w:numId w:val="0"/>
              </w:numPr>
              <w:ind w:left="397" w:hanging="397"/>
              <w:rPr>
                <w:b/>
              </w:rPr>
            </w:pPr>
            <w:r w:rsidRPr="00CB422F">
              <w:rPr>
                <w:b/>
              </w:rPr>
              <w:t xml:space="preserve">Key </w:t>
            </w:r>
            <w:r w:rsidR="00011594">
              <w:rPr>
                <w:b/>
              </w:rPr>
              <w:t>t</w:t>
            </w:r>
            <w:r w:rsidR="00011594" w:rsidRPr="00CB422F">
              <w:rPr>
                <w:b/>
              </w:rPr>
              <w:t xml:space="preserve">opic </w:t>
            </w:r>
            <w:r w:rsidRPr="00CB422F">
              <w:rPr>
                <w:b/>
              </w:rPr>
              <w:t>1.2</w:t>
            </w:r>
            <w:r w:rsidR="00447A52" w:rsidRPr="00CB422F">
              <w:rPr>
                <w:b/>
              </w:rPr>
              <w:t xml:space="preserve"> The last years of Edward the Confessor and the succession crisis</w:t>
            </w:r>
          </w:p>
          <w:p w14:paraId="33E2EA57" w14:textId="77777777" w:rsidR="0065089D" w:rsidRPr="002541E7" w:rsidRDefault="00447A52" w:rsidP="0074441C">
            <w:pPr>
              <w:pStyle w:val="Tabletextbullets"/>
            </w:pPr>
            <w:r w:rsidRPr="00EA3F2B">
              <w:t xml:space="preserve">The </w:t>
            </w:r>
            <w:r w:rsidR="0036219C">
              <w:t xml:space="preserve">significance and power of the </w:t>
            </w:r>
            <w:r w:rsidRPr="00EA3F2B">
              <w:t xml:space="preserve">house of Godwin. Harold Godwinson’s succession as Earl of Wessex. </w:t>
            </w:r>
          </w:p>
        </w:tc>
      </w:tr>
      <w:tr w:rsidR="00A07B51" w:rsidRPr="002B4ED0" w14:paraId="43D914DA" w14:textId="77777777" w:rsidTr="009D71A3">
        <w:trPr>
          <w:cantSplit/>
          <w:trHeight w:val="400"/>
        </w:trPr>
        <w:tc>
          <w:tcPr>
            <w:tcW w:w="38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257C3414" w14:textId="77777777" w:rsidR="00A07B51" w:rsidRDefault="00A07B51" w:rsidP="009D71A3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4620" w:type="pct"/>
            <w:tcBorders>
              <w:top w:val="single" w:sz="4" w:space="0" w:color="999999"/>
              <w:bottom w:val="single" w:sz="4" w:space="0" w:color="999999"/>
            </w:tcBorders>
          </w:tcPr>
          <w:p w14:paraId="28E6AFFE" w14:textId="77777777" w:rsidR="0074441C" w:rsidRDefault="0074441C" w:rsidP="0074441C">
            <w:pPr>
              <w:pStyle w:val="Tabletextbullets"/>
            </w:pPr>
            <w:r w:rsidRPr="00EA3F2B">
              <w:t>Harold Godwinson’s embassy to Normandy. The</w:t>
            </w:r>
            <w:r w:rsidR="0036219C">
              <w:t xml:space="preserve"> reasons for the</w:t>
            </w:r>
            <w:r w:rsidRPr="00EA3F2B">
              <w:t xml:space="preserve"> rising against Tostig and his exile. The death of Edward the Confessor.</w:t>
            </w:r>
          </w:p>
          <w:p w14:paraId="34FA7D1D" w14:textId="77777777" w:rsidR="00BF35E2" w:rsidRDefault="00BF35E2" w:rsidP="0074441C">
            <w:pPr>
              <w:pStyle w:val="Tabletextbullets"/>
              <w:numPr>
                <w:ilvl w:val="0"/>
                <w:numId w:val="0"/>
              </w:numPr>
              <w:rPr>
                <w:b/>
              </w:rPr>
            </w:pPr>
          </w:p>
          <w:p w14:paraId="089E9336" w14:textId="77777777" w:rsidR="0074441C" w:rsidRPr="00CB422F" w:rsidRDefault="0074441C" w:rsidP="0074441C">
            <w:pPr>
              <w:pStyle w:val="Tabletextbullets"/>
              <w:numPr>
                <w:ilvl w:val="0"/>
                <w:numId w:val="0"/>
              </w:numPr>
              <w:rPr>
                <w:b/>
              </w:rPr>
            </w:pPr>
            <w:r w:rsidRPr="00CB422F">
              <w:rPr>
                <w:b/>
              </w:rPr>
              <w:t xml:space="preserve">Key </w:t>
            </w:r>
            <w:r w:rsidR="00011594">
              <w:rPr>
                <w:b/>
              </w:rPr>
              <w:t>t</w:t>
            </w:r>
            <w:r w:rsidR="00011594" w:rsidRPr="00CB422F">
              <w:rPr>
                <w:b/>
              </w:rPr>
              <w:t xml:space="preserve">opic </w:t>
            </w:r>
            <w:r w:rsidRPr="00CB422F">
              <w:rPr>
                <w:b/>
              </w:rPr>
              <w:t>1.3 The rival claimants for the throne</w:t>
            </w:r>
          </w:p>
          <w:p w14:paraId="468231A5" w14:textId="77777777" w:rsidR="0074441C" w:rsidRPr="00EA3F2B" w:rsidRDefault="0074441C" w:rsidP="0074441C">
            <w:pPr>
              <w:pStyle w:val="Tabletextbullets"/>
            </w:pPr>
            <w:r w:rsidRPr="00EA3F2B">
              <w:t>The</w:t>
            </w:r>
            <w:r>
              <w:t xml:space="preserve"> </w:t>
            </w:r>
            <w:r w:rsidRPr="00EA3F2B">
              <w:t>motives and claims of William of Normandy, Harald Hardrada and Edgar</w:t>
            </w:r>
            <w:r w:rsidR="0036219C">
              <w:t xml:space="preserve"> the </w:t>
            </w:r>
            <w:proofErr w:type="spellStart"/>
            <w:r w:rsidR="0036219C">
              <w:t>Aethling</w:t>
            </w:r>
            <w:proofErr w:type="spellEnd"/>
            <w:r w:rsidRPr="00EA3F2B">
              <w:t>.</w:t>
            </w:r>
          </w:p>
          <w:p w14:paraId="0BB7552C" w14:textId="77777777" w:rsidR="0074441C" w:rsidRDefault="0074441C" w:rsidP="0074441C">
            <w:pPr>
              <w:pStyle w:val="Tabletextbullets"/>
            </w:pPr>
            <w:r w:rsidRPr="00EA3F2B">
              <w:t>The Witan and the coronation and reign of Harold Godwinson.</w:t>
            </w:r>
          </w:p>
          <w:p w14:paraId="134B1E60" w14:textId="77777777" w:rsidR="0065089D" w:rsidRPr="002541E7" w:rsidRDefault="0065089D" w:rsidP="0074441C">
            <w:pPr>
              <w:pStyle w:val="Tabletextbullets"/>
            </w:pPr>
            <w:r w:rsidRPr="00EA3F2B">
              <w:t>Reasons for, and significance of, the outcome of the battles of Gate Fulford and Stamford Bridge.</w:t>
            </w:r>
          </w:p>
        </w:tc>
      </w:tr>
      <w:tr w:rsidR="00A07B51" w:rsidRPr="002B4ED0" w14:paraId="605B22BB" w14:textId="77777777" w:rsidTr="009D71A3">
        <w:trPr>
          <w:cantSplit/>
          <w:trHeight w:val="400"/>
        </w:trPr>
        <w:tc>
          <w:tcPr>
            <w:tcW w:w="38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7A01D013" w14:textId="77777777" w:rsidR="00A07B51" w:rsidRDefault="00A07B51" w:rsidP="009D71A3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4620" w:type="pct"/>
            <w:tcBorders>
              <w:top w:val="single" w:sz="4" w:space="0" w:color="999999"/>
              <w:bottom w:val="single" w:sz="4" w:space="0" w:color="999999"/>
            </w:tcBorders>
          </w:tcPr>
          <w:p w14:paraId="329863C9" w14:textId="77777777" w:rsidR="0074441C" w:rsidRPr="00CB422F" w:rsidRDefault="0074441C" w:rsidP="0074441C">
            <w:pPr>
              <w:pStyle w:val="Tabletextbullets"/>
              <w:numPr>
                <w:ilvl w:val="0"/>
                <w:numId w:val="0"/>
              </w:numPr>
              <w:rPr>
                <w:b/>
              </w:rPr>
            </w:pPr>
            <w:r w:rsidRPr="00CB422F">
              <w:rPr>
                <w:b/>
              </w:rPr>
              <w:t xml:space="preserve">Key </w:t>
            </w:r>
            <w:r w:rsidR="00011594">
              <w:rPr>
                <w:b/>
              </w:rPr>
              <w:t>t</w:t>
            </w:r>
            <w:r w:rsidR="00011594" w:rsidRPr="00CB422F">
              <w:rPr>
                <w:b/>
              </w:rPr>
              <w:t xml:space="preserve">opic </w:t>
            </w:r>
            <w:r w:rsidRPr="00CB422F">
              <w:rPr>
                <w:b/>
              </w:rPr>
              <w:t>1.4 The Norman invasion</w:t>
            </w:r>
          </w:p>
          <w:p w14:paraId="1B38EBAA" w14:textId="77777777" w:rsidR="0074441C" w:rsidRPr="00EA3F2B" w:rsidRDefault="0074441C" w:rsidP="0074441C">
            <w:pPr>
              <w:pStyle w:val="Tabletextbullets"/>
            </w:pPr>
            <w:r w:rsidRPr="00EA3F2B">
              <w:t>The Battle of Hastings.</w:t>
            </w:r>
          </w:p>
          <w:p w14:paraId="71B5A3D5" w14:textId="77777777" w:rsidR="0065089D" w:rsidRPr="002541E7" w:rsidRDefault="0074441C" w:rsidP="0074441C">
            <w:pPr>
              <w:pStyle w:val="Tabletextbullets"/>
            </w:pPr>
            <w:r>
              <w:t>Reasons for William</w:t>
            </w:r>
            <w:r w:rsidRPr="00EA3F2B">
              <w:t>’s victory</w:t>
            </w:r>
            <w:r>
              <w:t>,</w:t>
            </w:r>
            <w:r w:rsidRPr="00EA3F2B">
              <w:t xml:space="preserve"> including the leadership skills of Harold and William, Norman and English troops and tactics.</w:t>
            </w:r>
          </w:p>
        </w:tc>
      </w:tr>
      <w:tr w:rsidR="00A07B51" w:rsidRPr="002B4ED0" w14:paraId="12CB3C04" w14:textId="77777777" w:rsidTr="009D71A3">
        <w:trPr>
          <w:cantSplit/>
          <w:trHeight w:val="77"/>
        </w:trPr>
        <w:tc>
          <w:tcPr>
            <w:tcW w:w="380" w:type="pct"/>
            <w:tcBorders>
              <w:top w:val="single" w:sz="4" w:space="0" w:color="999999"/>
            </w:tcBorders>
            <w:shd w:val="clear" w:color="auto" w:fill="auto"/>
          </w:tcPr>
          <w:p w14:paraId="23503F9E" w14:textId="77777777" w:rsidR="00A07B51" w:rsidRDefault="00A07B51" w:rsidP="009D71A3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4620" w:type="pct"/>
            <w:tcBorders>
              <w:top w:val="single" w:sz="4" w:space="0" w:color="999999"/>
            </w:tcBorders>
          </w:tcPr>
          <w:p w14:paraId="58A56883" w14:textId="77777777" w:rsidR="0074441C" w:rsidRPr="00A56FE6" w:rsidRDefault="0074441C" w:rsidP="0074441C">
            <w:pPr>
              <w:pStyle w:val="Tabletextbullets"/>
              <w:numPr>
                <w:ilvl w:val="0"/>
                <w:numId w:val="0"/>
              </w:numPr>
              <w:ind w:left="397" w:hanging="397"/>
              <w:rPr>
                <w:b/>
              </w:rPr>
            </w:pPr>
            <w:r w:rsidRPr="00A56FE6">
              <w:rPr>
                <w:b/>
              </w:rPr>
              <w:t xml:space="preserve">Key </w:t>
            </w:r>
            <w:r w:rsidR="00011594">
              <w:rPr>
                <w:b/>
              </w:rPr>
              <w:t>t</w:t>
            </w:r>
            <w:r w:rsidR="00011594" w:rsidRPr="00A56FE6">
              <w:rPr>
                <w:b/>
              </w:rPr>
              <w:t xml:space="preserve">opic </w:t>
            </w:r>
            <w:r w:rsidRPr="00A56FE6">
              <w:rPr>
                <w:b/>
              </w:rPr>
              <w:t>2.1 Establishing control</w:t>
            </w:r>
          </w:p>
          <w:p w14:paraId="5CA75ACE" w14:textId="77777777" w:rsidR="0074441C" w:rsidRPr="00EA3F2B" w:rsidRDefault="0074441C" w:rsidP="0074441C">
            <w:pPr>
              <w:pStyle w:val="Tabletextbullets"/>
            </w:pPr>
            <w:r w:rsidRPr="00EA3F2B">
              <w:t xml:space="preserve">The submission of the earls, 1066. </w:t>
            </w:r>
          </w:p>
          <w:p w14:paraId="1B537C49" w14:textId="77777777" w:rsidR="0074441C" w:rsidRPr="00EA3F2B" w:rsidRDefault="0074441C" w:rsidP="0074441C">
            <w:pPr>
              <w:pStyle w:val="Tabletextbullets"/>
            </w:pPr>
            <w:r w:rsidRPr="00EA3F2B">
              <w:t xml:space="preserve">Rewarding followers and establishing control on the borderlands through the use of earls. The Marcher earldoms. </w:t>
            </w:r>
          </w:p>
          <w:p w14:paraId="6CD3C220" w14:textId="77777777" w:rsidR="0065089D" w:rsidRPr="002541E7" w:rsidRDefault="0074441C" w:rsidP="0074441C">
            <w:pPr>
              <w:pStyle w:val="Tabletextbullets"/>
            </w:pPr>
            <w:r w:rsidRPr="00EA3F2B">
              <w:t>Reasons for</w:t>
            </w:r>
            <w:r>
              <w:t xml:space="preserve"> the building of castles; their </w:t>
            </w:r>
            <w:r w:rsidRPr="00EA3F2B">
              <w:t>key features</w:t>
            </w:r>
            <w:r>
              <w:t xml:space="preserve"> </w:t>
            </w:r>
            <w:r w:rsidRPr="00EA3F2B">
              <w:t>and importance.</w:t>
            </w:r>
          </w:p>
        </w:tc>
      </w:tr>
      <w:tr w:rsidR="00A07B51" w:rsidRPr="002B4ED0" w14:paraId="61926783" w14:textId="77777777" w:rsidTr="009D71A3">
        <w:trPr>
          <w:cantSplit/>
          <w:trHeight w:val="400"/>
        </w:trPr>
        <w:tc>
          <w:tcPr>
            <w:tcW w:w="38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19CA18A2" w14:textId="77777777" w:rsidR="00A07B51" w:rsidRDefault="00A07B51" w:rsidP="009D71A3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4620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791FB4A6" w14:textId="77777777" w:rsidR="0074441C" w:rsidRPr="00A56FE6" w:rsidRDefault="0074441C" w:rsidP="0074441C">
            <w:pPr>
              <w:pStyle w:val="Tabletextbullets"/>
              <w:numPr>
                <w:ilvl w:val="0"/>
                <w:numId w:val="0"/>
              </w:numPr>
              <w:ind w:left="397" w:hanging="397"/>
              <w:rPr>
                <w:b/>
              </w:rPr>
            </w:pPr>
            <w:r w:rsidRPr="00A56FE6">
              <w:rPr>
                <w:b/>
              </w:rPr>
              <w:t xml:space="preserve">Key </w:t>
            </w:r>
            <w:r w:rsidR="00011594">
              <w:rPr>
                <w:b/>
              </w:rPr>
              <w:t>t</w:t>
            </w:r>
            <w:r w:rsidR="00011594" w:rsidRPr="00A56FE6">
              <w:rPr>
                <w:b/>
              </w:rPr>
              <w:t xml:space="preserve">opic </w:t>
            </w:r>
            <w:r w:rsidRPr="00A56FE6">
              <w:rPr>
                <w:b/>
              </w:rPr>
              <w:t>2.2 Anglo-Saxon resistance, 1068–71</w:t>
            </w:r>
          </w:p>
          <w:p w14:paraId="50622E2D" w14:textId="77777777" w:rsidR="0074441C" w:rsidRPr="00FA673B" w:rsidRDefault="0036219C" w:rsidP="0036219C">
            <w:pPr>
              <w:pStyle w:val="Tabletextbullets"/>
            </w:pPr>
            <w:r>
              <w:t>Causes and outcomes of Anglo-Saxon resistance: t</w:t>
            </w:r>
            <w:r w:rsidR="0074441C" w:rsidRPr="00EA3F2B">
              <w:t xml:space="preserve">he revolt of </w:t>
            </w:r>
            <w:r w:rsidR="0074441C">
              <w:t>E</w:t>
            </w:r>
            <w:r w:rsidR="0074441C" w:rsidRPr="00EA3F2B">
              <w:t xml:space="preserve">arls Edwin and </w:t>
            </w:r>
            <w:proofErr w:type="spellStart"/>
            <w:r w:rsidR="0074441C" w:rsidRPr="00EA3F2B">
              <w:t>Morcar</w:t>
            </w:r>
            <w:proofErr w:type="spellEnd"/>
            <w:r w:rsidR="0074441C" w:rsidRPr="00EA3F2B">
              <w:t xml:space="preserve"> </w:t>
            </w:r>
            <w:r>
              <w:t>(</w:t>
            </w:r>
            <w:r w:rsidR="0074441C" w:rsidRPr="00EA3F2B">
              <w:t>1068</w:t>
            </w:r>
            <w:r>
              <w:t xml:space="preserve">); </w:t>
            </w:r>
            <w:r w:rsidR="0074441C" w:rsidRPr="00EA3F2B">
              <w:t xml:space="preserve">Edgar the </w:t>
            </w:r>
            <w:proofErr w:type="spellStart"/>
            <w:r w:rsidR="0074441C" w:rsidRPr="00EA3F2B">
              <w:t>Aethling</w:t>
            </w:r>
            <w:proofErr w:type="spellEnd"/>
            <w:r w:rsidR="0074441C" w:rsidRPr="00EA3F2B">
              <w:t xml:space="preserve"> and the rebellions in the North</w:t>
            </w:r>
            <w:r w:rsidR="00407988">
              <w:t xml:space="preserve"> (</w:t>
            </w:r>
            <w:r w:rsidR="0074441C" w:rsidRPr="00EA3F2B">
              <w:t>1069</w:t>
            </w:r>
            <w:r w:rsidR="00407988">
              <w:t>)</w:t>
            </w:r>
            <w:r>
              <w:t>;</w:t>
            </w:r>
            <w:r w:rsidR="0074441C" w:rsidRPr="00EA3F2B">
              <w:t xml:space="preserve"> Hereward the Wake and rebellion at Ely</w:t>
            </w:r>
            <w:r w:rsidR="00407988">
              <w:t xml:space="preserve"> (</w:t>
            </w:r>
            <w:r w:rsidR="0074441C" w:rsidRPr="00EA3F2B">
              <w:t>1070–71</w:t>
            </w:r>
            <w:r w:rsidR="00407988">
              <w:t>)</w:t>
            </w:r>
            <w:r w:rsidR="0074441C" w:rsidRPr="00EA3F2B">
              <w:t>.</w:t>
            </w:r>
          </w:p>
        </w:tc>
      </w:tr>
      <w:tr w:rsidR="00A07B51" w:rsidRPr="002B4ED0" w14:paraId="3944BA8B" w14:textId="77777777" w:rsidTr="009D71A3">
        <w:trPr>
          <w:cantSplit/>
          <w:trHeight w:val="400"/>
        </w:trPr>
        <w:tc>
          <w:tcPr>
            <w:tcW w:w="38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4899ED66" w14:textId="77777777" w:rsidR="00A07B51" w:rsidRDefault="00A07B51" w:rsidP="009D71A3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7</w:t>
            </w:r>
          </w:p>
        </w:tc>
        <w:tc>
          <w:tcPr>
            <w:tcW w:w="4620" w:type="pct"/>
            <w:tcBorders>
              <w:top w:val="single" w:sz="4" w:space="0" w:color="999999"/>
              <w:bottom w:val="single" w:sz="4" w:space="0" w:color="999999"/>
            </w:tcBorders>
          </w:tcPr>
          <w:p w14:paraId="54352F9B" w14:textId="77777777" w:rsidR="0074441C" w:rsidRPr="00A56FE6" w:rsidRDefault="0074441C" w:rsidP="0074441C">
            <w:pPr>
              <w:pStyle w:val="Tabletextbullets"/>
              <w:numPr>
                <w:ilvl w:val="0"/>
                <w:numId w:val="0"/>
              </w:numPr>
              <w:ind w:left="397" w:hanging="397"/>
              <w:rPr>
                <w:b/>
              </w:rPr>
            </w:pPr>
            <w:r w:rsidRPr="00A56FE6">
              <w:rPr>
                <w:b/>
              </w:rPr>
              <w:t xml:space="preserve">Key </w:t>
            </w:r>
            <w:r w:rsidR="00011594">
              <w:rPr>
                <w:b/>
              </w:rPr>
              <w:t>t</w:t>
            </w:r>
            <w:r w:rsidR="00011594" w:rsidRPr="00A56FE6">
              <w:rPr>
                <w:b/>
              </w:rPr>
              <w:t xml:space="preserve">opic </w:t>
            </w:r>
            <w:r w:rsidRPr="00A56FE6">
              <w:rPr>
                <w:b/>
              </w:rPr>
              <w:t>2.3 The legacy of resistance to 1087</w:t>
            </w:r>
          </w:p>
          <w:p w14:paraId="17702713" w14:textId="77777777" w:rsidR="0074441C" w:rsidRPr="00EA3F2B" w:rsidRDefault="0074441C" w:rsidP="0074441C">
            <w:pPr>
              <w:pStyle w:val="Tabletextbullets"/>
            </w:pPr>
            <w:r w:rsidRPr="00EA3F2B">
              <w:t>The reasons for and features of Harrying of the North</w:t>
            </w:r>
            <w:r w:rsidR="00407988">
              <w:t xml:space="preserve"> (</w:t>
            </w:r>
            <w:r>
              <w:t>1069–70</w:t>
            </w:r>
            <w:r w:rsidR="00407988">
              <w:t>)</w:t>
            </w:r>
            <w:r>
              <w:t>. Its immediate and long-</w:t>
            </w:r>
            <w:r w:rsidRPr="00EA3F2B">
              <w:t>term impact, 1069–87.</w:t>
            </w:r>
          </w:p>
          <w:p w14:paraId="4497CE9B" w14:textId="77777777" w:rsidR="0074441C" w:rsidRPr="00EA3F2B" w:rsidRDefault="0074441C" w:rsidP="0074441C">
            <w:pPr>
              <w:pStyle w:val="Tabletextbullets"/>
            </w:pPr>
            <w:r w:rsidRPr="00EA3F2B">
              <w:t xml:space="preserve">Changes in landownership from Anglo-Saxon to Norman, 1066–87. </w:t>
            </w:r>
          </w:p>
          <w:p w14:paraId="0EDDEDD3" w14:textId="77777777" w:rsidR="00BF35E2" w:rsidRDefault="00BF35E2" w:rsidP="0074441C">
            <w:pPr>
              <w:pStyle w:val="Tabletextbullets"/>
              <w:numPr>
                <w:ilvl w:val="0"/>
                <w:numId w:val="0"/>
              </w:numPr>
              <w:rPr>
                <w:b/>
              </w:rPr>
            </w:pPr>
          </w:p>
          <w:p w14:paraId="72F95F23" w14:textId="77777777" w:rsidR="00A07B51" w:rsidRPr="00A56FE6" w:rsidRDefault="0074441C" w:rsidP="0074441C">
            <w:pPr>
              <w:pStyle w:val="Tabletextbullets"/>
              <w:numPr>
                <w:ilvl w:val="0"/>
                <w:numId w:val="0"/>
              </w:numPr>
              <w:rPr>
                <w:b/>
              </w:rPr>
            </w:pPr>
            <w:r w:rsidRPr="00A56FE6">
              <w:rPr>
                <w:b/>
              </w:rPr>
              <w:t xml:space="preserve">Key </w:t>
            </w:r>
            <w:r w:rsidR="00011594">
              <w:rPr>
                <w:b/>
              </w:rPr>
              <w:t>t</w:t>
            </w:r>
            <w:r w:rsidR="00011594" w:rsidRPr="00A56FE6">
              <w:rPr>
                <w:b/>
              </w:rPr>
              <w:t xml:space="preserve">opic </w:t>
            </w:r>
            <w:r w:rsidRPr="00A56FE6">
              <w:rPr>
                <w:b/>
              </w:rPr>
              <w:t>2.4 Revolt of the Earls, 1075</w:t>
            </w:r>
          </w:p>
          <w:p w14:paraId="63C3B75A" w14:textId="77777777" w:rsidR="0074441C" w:rsidRPr="00AB4D7D" w:rsidRDefault="0074441C" w:rsidP="0074441C">
            <w:pPr>
              <w:pStyle w:val="Tabletextbullets"/>
            </w:pPr>
            <w:r w:rsidRPr="00AB4D7D">
              <w:t xml:space="preserve">Reasons for and features of the revolt. </w:t>
            </w:r>
          </w:p>
          <w:p w14:paraId="665DD86D" w14:textId="77777777" w:rsidR="0074441C" w:rsidRPr="002541E7" w:rsidRDefault="0074441C" w:rsidP="0074441C">
            <w:pPr>
              <w:pStyle w:val="Tabletextbullets"/>
            </w:pPr>
            <w:r w:rsidRPr="00AB4D7D">
              <w:t>The defeat of the revolt and its effects.</w:t>
            </w:r>
          </w:p>
        </w:tc>
      </w:tr>
      <w:tr w:rsidR="00A07B51" w:rsidRPr="002B4ED0" w14:paraId="28E0BCB5" w14:textId="77777777" w:rsidTr="009D71A3">
        <w:trPr>
          <w:cantSplit/>
          <w:trHeight w:val="77"/>
        </w:trPr>
        <w:tc>
          <w:tcPr>
            <w:tcW w:w="380" w:type="pct"/>
            <w:tcBorders>
              <w:top w:val="single" w:sz="4" w:space="0" w:color="999999"/>
            </w:tcBorders>
            <w:shd w:val="clear" w:color="auto" w:fill="auto"/>
          </w:tcPr>
          <w:p w14:paraId="1CB54462" w14:textId="77777777" w:rsidR="00A07B51" w:rsidRDefault="00A07B51" w:rsidP="009D71A3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4620" w:type="pct"/>
            <w:tcBorders>
              <w:top w:val="single" w:sz="4" w:space="0" w:color="999999"/>
            </w:tcBorders>
          </w:tcPr>
          <w:p w14:paraId="710D2DEE" w14:textId="77777777" w:rsidR="00A07B51" w:rsidRPr="00A56FE6" w:rsidRDefault="007279BC" w:rsidP="0074441C">
            <w:pPr>
              <w:pStyle w:val="Tabletextbullets"/>
              <w:numPr>
                <w:ilvl w:val="0"/>
                <w:numId w:val="0"/>
              </w:numPr>
              <w:ind w:left="397" w:hanging="397"/>
              <w:rPr>
                <w:b/>
              </w:rPr>
            </w:pPr>
            <w:r w:rsidRPr="00A56FE6">
              <w:rPr>
                <w:b/>
              </w:rPr>
              <w:t xml:space="preserve">Key </w:t>
            </w:r>
            <w:r w:rsidR="00011594">
              <w:rPr>
                <w:b/>
              </w:rPr>
              <w:t>t</w:t>
            </w:r>
            <w:r w:rsidR="00011594" w:rsidRPr="00A56FE6">
              <w:rPr>
                <w:b/>
              </w:rPr>
              <w:t xml:space="preserve">opic </w:t>
            </w:r>
            <w:r w:rsidRPr="00A56FE6">
              <w:rPr>
                <w:b/>
              </w:rPr>
              <w:t>3.1 The feudal system and the Church</w:t>
            </w:r>
          </w:p>
          <w:p w14:paraId="21A7E47F" w14:textId="77777777" w:rsidR="007279BC" w:rsidRDefault="007279BC" w:rsidP="007279BC">
            <w:pPr>
              <w:pStyle w:val="Tabletextbullets"/>
            </w:pPr>
            <w:r>
              <w:t xml:space="preserve">The feudal hierarchy. The role and importance of tenants-in-chief and knights. The nature of feudalism (landholding, homage, knight service, labour service); forfeiture. </w:t>
            </w:r>
          </w:p>
          <w:p w14:paraId="40F5984E" w14:textId="77777777" w:rsidR="007279BC" w:rsidRDefault="005E660E" w:rsidP="005E660E">
            <w:pPr>
              <w:pStyle w:val="Tabletextbullets"/>
            </w:pPr>
            <w:r w:rsidRPr="005E660E">
              <w:t>The Church in England: its role in society and relationship to</w:t>
            </w:r>
            <w:r>
              <w:t xml:space="preserve"> </w:t>
            </w:r>
            <w:r w:rsidRPr="005E660E">
              <w:t>government, inc</w:t>
            </w:r>
            <w:r>
              <w:t xml:space="preserve">luding the </w:t>
            </w:r>
            <w:r w:rsidR="0036219C">
              <w:t>significance</w:t>
            </w:r>
            <w:r>
              <w:t xml:space="preserve"> of </w:t>
            </w:r>
            <w:proofErr w:type="spellStart"/>
            <w:r>
              <w:t>Stigand</w:t>
            </w:r>
            <w:proofErr w:type="spellEnd"/>
            <w:r>
              <w:t xml:space="preserve"> and </w:t>
            </w:r>
            <w:r w:rsidRPr="005E660E">
              <w:t>Lanfranc. The</w:t>
            </w:r>
            <w:r>
              <w:t xml:space="preserve"> </w:t>
            </w:r>
            <w:proofErr w:type="spellStart"/>
            <w:r w:rsidRPr="005E660E">
              <w:t>Normanisation</w:t>
            </w:r>
            <w:proofErr w:type="spellEnd"/>
            <w:r w:rsidRPr="005E660E">
              <w:t xml:space="preserve"> and reform of the Church in the reign of William I.</w:t>
            </w:r>
          </w:p>
        </w:tc>
      </w:tr>
      <w:tr w:rsidR="00A07B51" w:rsidRPr="002B4ED0" w14:paraId="50E0827E" w14:textId="77777777" w:rsidTr="009D71A3">
        <w:trPr>
          <w:cantSplit/>
          <w:trHeight w:val="400"/>
        </w:trPr>
        <w:tc>
          <w:tcPr>
            <w:tcW w:w="38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50B43376" w14:textId="77777777" w:rsidR="00A07B51" w:rsidRDefault="00A07B51" w:rsidP="009D71A3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</w:p>
        </w:tc>
        <w:tc>
          <w:tcPr>
            <w:tcW w:w="4620" w:type="pct"/>
            <w:tcBorders>
              <w:top w:val="single" w:sz="4" w:space="0" w:color="999999"/>
              <w:bottom w:val="single" w:sz="4" w:space="0" w:color="999999"/>
            </w:tcBorders>
          </w:tcPr>
          <w:p w14:paraId="2C270930" w14:textId="77777777" w:rsidR="007279BC" w:rsidRDefault="007279BC" w:rsidP="00A07B51">
            <w:pPr>
              <w:pStyle w:val="Tabletextbullets"/>
            </w:pPr>
            <w:r>
              <w:t>The extent of change to Anglo-Saxon society and economy.</w:t>
            </w:r>
          </w:p>
          <w:p w14:paraId="70984FAD" w14:textId="77777777" w:rsidR="00BF35E2" w:rsidRDefault="00BF35E2" w:rsidP="0074441C">
            <w:pPr>
              <w:pStyle w:val="Tabletextbullets"/>
              <w:numPr>
                <w:ilvl w:val="0"/>
                <w:numId w:val="0"/>
              </w:numPr>
              <w:rPr>
                <w:b/>
              </w:rPr>
            </w:pPr>
          </w:p>
          <w:p w14:paraId="1E358680" w14:textId="77777777" w:rsidR="00A07B51" w:rsidRPr="00A56FE6" w:rsidRDefault="007279BC" w:rsidP="0074441C">
            <w:pPr>
              <w:pStyle w:val="Tabletextbullets"/>
              <w:numPr>
                <w:ilvl w:val="0"/>
                <w:numId w:val="0"/>
              </w:numPr>
              <w:rPr>
                <w:b/>
              </w:rPr>
            </w:pPr>
            <w:r w:rsidRPr="00A56FE6">
              <w:rPr>
                <w:b/>
              </w:rPr>
              <w:t xml:space="preserve">Key </w:t>
            </w:r>
            <w:r w:rsidR="00011594">
              <w:rPr>
                <w:b/>
              </w:rPr>
              <w:t>t</w:t>
            </w:r>
            <w:r w:rsidR="00011594" w:rsidRPr="00A56FE6">
              <w:rPr>
                <w:b/>
              </w:rPr>
              <w:t xml:space="preserve">opic </w:t>
            </w:r>
            <w:r w:rsidRPr="00A56FE6">
              <w:rPr>
                <w:b/>
              </w:rPr>
              <w:t>3.2 Norman g</w:t>
            </w:r>
            <w:r w:rsidR="00ED2DD5" w:rsidRPr="00A56FE6">
              <w:rPr>
                <w:b/>
              </w:rPr>
              <w:t>overnment</w:t>
            </w:r>
          </w:p>
          <w:p w14:paraId="0675B0A6" w14:textId="77777777" w:rsidR="00ED2DD5" w:rsidRDefault="00ED2DD5" w:rsidP="00A07B51">
            <w:pPr>
              <w:pStyle w:val="Tabletextbullets"/>
            </w:pPr>
            <w:r>
              <w:t xml:space="preserve">Changes to government after the Conquest. </w:t>
            </w:r>
            <w:r w:rsidR="007279BC">
              <w:t>Centralised</w:t>
            </w:r>
            <w:r>
              <w:t xml:space="preserve"> power and the limited use of earls under William I. The role of regents</w:t>
            </w:r>
            <w:r w:rsidR="0036219C">
              <w:t xml:space="preserve"> during William’s absences</w:t>
            </w:r>
            <w:r>
              <w:t>.</w:t>
            </w:r>
          </w:p>
          <w:p w14:paraId="6C06831B" w14:textId="77777777" w:rsidR="00ED2DD5" w:rsidRPr="002541E7" w:rsidRDefault="00ED2DD5" w:rsidP="00A07B51">
            <w:pPr>
              <w:pStyle w:val="Tabletextbullets"/>
            </w:pPr>
            <w:r>
              <w:t xml:space="preserve">The office of sheriff and the demesne. </w:t>
            </w:r>
            <w:r w:rsidR="007279BC">
              <w:t>Introduction</w:t>
            </w:r>
            <w:r>
              <w:t xml:space="preserve"> and significance of the ‘forest’.</w:t>
            </w:r>
          </w:p>
        </w:tc>
      </w:tr>
      <w:tr w:rsidR="00A07B51" w:rsidRPr="002B4ED0" w14:paraId="49FCE37C" w14:textId="77777777" w:rsidTr="009D71A3">
        <w:trPr>
          <w:cantSplit/>
          <w:trHeight w:val="400"/>
        </w:trPr>
        <w:tc>
          <w:tcPr>
            <w:tcW w:w="38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4FFAF3F7" w14:textId="77777777" w:rsidR="00A07B51" w:rsidRDefault="00A07B51" w:rsidP="009D71A3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4620" w:type="pct"/>
            <w:tcBorders>
              <w:top w:val="single" w:sz="4" w:space="0" w:color="999999"/>
              <w:bottom w:val="single" w:sz="4" w:space="0" w:color="999999"/>
            </w:tcBorders>
          </w:tcPr>
          <w:p w14:paraId="696E1C8D" w14:textId="77777777" w:rsidR="00ED2DD5" w:rsidRDefault="0036219C" w:rsidP="00A07B51">
            <w:pPr>
              <w:pStyle w:val="Tabletextbullets"/>
            </w:pPr>
            <w:r>
              <w:t xml:space="preserve">The </w:t>
            </w:r>
            <w:r w:rsidR="00ED2DD5">
              <w:t xml:space="preserve">Domesday </w:t>
            </w:r>
            <w:r>
              <w:t xml:space="preserve">survey and Domesday </w:t>
            </w:r>
            <w:r w:rsidR="00ED2DD5">
              <w:t xml:space="preserve">Book and </w:t>
            </w:r>
            <w:r>
              <w:t>their</w:t>
            </w:r>
            <w:r w:rsidR="00ED2DD5">
              <w:t xml:space="preserve"> significance for Norman government and finance.</w:t>
            </w:r>
          </w:p>
          <w:p w14:paraId="404A348D" w14:textId="77777777" w:rsidR="00BF35E2" w:rsidRDefault="00BF35E2" w:rsidP="0074441C">
            <w:pPr>
              <w:pStyle w:val="Tabletextbullets"/>
              <w:numPr>
                <w:ilvl w:val="0"/>
                <w:numId w:val="0"/>
              </w:numPr>
              <w:rPr>
                <w:b/>
              </w:rPr>
            </w:pPr>
          </w:p>
          <w:p w14:paraId="79CECB34" w14:textId="77777777" w:rsidR="00A07B51" w:rsidRPr="00A56FE6" w:rsidRDefault="00ED2DD5" w:rsidP="0074441C">
            <w:pPr>
              <w:pStyle w:val="Tabletextbullets"/>
              <w:numPr>
                <w:ilvl w:val="0"/>
                <w:numId w:val="0"/>
              </w:numPr>
              <w:rPr>
                <w:b/>
              </w:rPr>
            </w:pPr>
            <w:r w:rsidRPr="00A56FE6">
              <w:rPr>
                <w:b/>
              </w:rPr>
              <w:t xml:space="preserve">Key </w:t>
            </w:r>
            <w:r w:rsidR="00011594">
              <w:rPr>
                <w:b/>
              </w:rPr>
              <w:t>t</w:t>
            </w:r>
            <w:r w:rsidR="00011594" w:rsidRPr="00A56FE6">
              <w:rPr>
                <w:b/>
              </w:rPr>
              <w:t xml:space="preserve">opic </w:t>
            </w:r>
            <w:r w:rsidRPr="00A56FE6">
              <w:rPr>
                <w:b/>
              </w:rPr>
              <w:t>3.3 T</w:t>
            </w:r>
            <w:r w:rsidR="007279BC" w:rsidRPr="00A56FE6">
              <w:rPr>
                <w:b/>
              </w:rPr>
              <w:t>he Norman a</w:t>
            </w:r>
            <w:r w:rsidRPr="00A56FE6">
              <w:rPr>
                <w:b/>
              </w:rPr>
              <w:t>ristocracy</w:t>
            </w:r>
          </w:p>
          <w:p w14:paraId="0D567CC2" w14:textId="77777777" w:rsidR="00ED2DD5" w:rsidRPr="002541E7" w:rsidRDefault="00ED2DD5" w:rsidP="00A56FE6">
            <w:pPr>
              <w:pStyle w:val="Tabletextbullets"/>
            </w:pPr>
            <w:r>
              <w:t>The culture and language of the Norman arist</w:t>
            </w:r>
            <w:r w:rsidR="007279BC">
              <w:t>ocr</w:t>
            </w:r>
            <w:r w:rsidR="00A56FE6">
              <w:t>acy.</w:t>
            </w:r>
          </w:p>
        </w:tc>
      </w:tr>
      <w:tr w:rsidR="00A07B51" w:rsidRPr="002B4ED0" w14:paraId="1ACBC26E" w14:textId="77777777" w:rsidTr="009D71A3">
        <w:trPr>
          <w:cantSplit/>
          <w:trHeight w:val="562"/>
        </w:trPr>
        <w:tc>
          <w:tcPr>
            <w:tcW w:w="380" w:type="pct"/>
            <w:tcBorders>
              <w:top w:val="single" w:sz="4" w:space="0" w:color="999999"/>
            </w:tcBorders>
            <w:shd w:val="clear" w:color="auto" w:fill="auto"/>
          </w:tcPr>
          <w:p w14:paraId="05AFF10E" w14:textId="77777777" w:rsidR="00A07B51" w:rsidRDefault="00A07B51" w:rsidP="009D71A3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11</w:t>
            </w:r>
          </w:p>
        </w:tc>
        <w:tc>
          <w:tcPr>
            <w:tcW w:w="4620" w:type="pct"/>
            <w:tcBorders>
              <w:top w:val="single" w:sz="4" w:space="0" w:color="999999"/>
            </w:tcBorders>
          </w:tcPr>
          <w:p w14:paraId="49BF53DE" w14:textId="77777777" w:rsidR="00A56FE6" w:rsidRDefault="00A56FE6" w:rsidP="00A56FE6">
            <w:pPr>
              <w:pStyle w:val="Tabletextbullets"/>
              <w:rPr>
                <w:b/>
              </w:rPr>
            </w:pPr>
            <w:r>
              <w:t>The career and significance of Bishop Odo.</w:t>
            </w:r>
          </w:p>
          <w:p w14:paraId="4C0144D0" w14:textId="77777777" w:rsidR="00BF35E2" w:rsidRDefault="00BF35E2" w:rsidP="0074441C">
            <w:pPr>
              <w:pStyle w:val="Tabletextbullets"/>
              <w:numPr>
                <w:ilvl w:val="0"/>
                <w:numId w:val="0"/>
              </w:numPr>
              <w:ind w:left="397" w:hanging="397"/>
              <w:rPr>
                <w:b/>
              </w:rPr>
            </w:pPr>
          </w:p>
          <w:p w14:paraId="67B9BF3E" w14:textId="77777777" w:rsidR="00A07B51" w:rsidRPr="00A56FE6" w:rsidRDefault="00ED2DD5" w:rsidP="0074441C">
            <w:pPr>
              <w:pStyle w:val="Tabletextbullets"/>
              <w:numPr>
                <w:ilvl w:val="0"/>
                <w:numId w:val="0"/>
              </w:numPr>
              <w:ind w:left="397" w:hanging="397"/>
              <w:rPr>
                <w:b/>
              </w:rPr>
            </w:pPr>
            <w:r w:rsidRPr="00A56FE6">
              <w:rPr>
                <w:b/>
              </w:rPr>
              <w:t xml:space="preserve">Key </w:t>
            </w:r>
            <w:r w:rsidR="00011594">
              <w:rPr>
                <w:b/>
              </w:rPr>
              <w:t>t</w:t>
            </w:r>
            <w:r w:rsidR="00011594" w:rsidRPr="00A56FE6">
              <w:rPr>
                <w:b/>
              </w:rPr>
              <w:t xml:space="preserve">opic </w:t>
            </w:r>
            <w:r w:rsidRPr="00A56FE6">
              <w:rPr>
                <w:b/>
              </w:rPr>
              <w:t xml:space="preserve">3.4 William </w:t>
            </w:r>
            <w:r w:rsidR="009F6B1C">
              <w:rPr>
                <w:b/>
              </w:rPr>
              <w:t xml:space="preserve">I </w:t>
            </w:r>
            <w:r w:rsidRPr="00A56FE6">
              <w:rPr>
                <w:b/>
              </w:rPr>
              <w:t xml:space="preserve">and </w:t>
            </w:r>
            <w:r w:rsidR="0036219C">
              <w:rPr>
                <w:b/>
              </w:rPr>
              <w:t>the succession</w:t>
            </w:r>
          </w:p>
          <w:p w14:paraId="5BEAAC00" w14:textId="77777777" w:rsidR="00ED2DD5" w:rsidRDefault="00ED2DD5" w:rsidP="00A07B51">
            <w:pPr>
              <w:pStyle w:val="Tabletextbullets"/>
            </w:pPr>
            <w:r>
              <w:t xml:space="preserve">Character and personality of William I and his relations with </w:t>
            </w:r>
            <w:r w:rsidR="007279BC">
              <w:t>Robert</w:t>
            </w:r>
            <w:r w:rsidR="0036219C">
              <w:t>, including</w:t>
            </w:r>
            <w:r>
              <w:t xml:space="preserve"> Robert</w:t>
            </w:r>
            <w:r w:rsidR="0036219C">
              <w:t>’s</w:t>
            </w:r>
            <w:r>
              <w:t xml:space="preserve"> revolt in Normandy</w:t>
            </w:r>
            <w:r w:rsidR="003125F8">
              <w:t xml:space="preserve"> (</w:t>
            </w:r>
            <w:r>
              <w:t>1077</w:t>
            </w:r>
            <w:r w:rsidR="00011594">
              <w:t>–</w:t>
            </w:r>
            <w:r>
              <w:t>80</w:t>
            </w:r>
            <w:r w:rsidR="003125F8">
              <w:t>)</w:t>
            </w:r>
            <w:r>
              <w:t>.</w:t>
            </w:r>
          </w:p>
          <w:p w14:paraId="54D56D37" w14:textId="77777777" w:rsidR="00ED2DD5" w:rsidRPr="002541E7" w:rsidRDefault="00ED2DD5" w:rsidP="00A07B51">
            <w:pPr>
              <w:pStyle w:val="Tabletextbullets"/>
            </w:pPr>
            <w:r>
              <w:t>William’s death and the disputed succession. William Rufus and the defeat of Robert and Odo.</w:t>
            </w:r>
          </w:p>
        </w:tc>
      </w:tr>
      <w:tr w:rsidR="00A07B51" w:rsidRPr="002B4ED0" w14:paraId="1A6F5F5B" w14:textId="77777777" w:rsidTr="009D71A3">
        <w:trPr>
          <w:cantSplit/>
          <w:trHeight w:val="400"/>
        </w:trPr>
        <w:tc>
          <w:tcPr>
            <w:tcW w:w="38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15EEBB92" w14:textId="77777777" w:rsidR="00A07B51" w:rsidRDefault="00A07B51" w:rsidP="009D71A3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</w:t>
            </w:r>
          </w:p>
        </w:tc>
        <w:tc>
          <w:tcPr>
            <w:tcW w:w="4620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029EA011" w14:textId="77777777" w:rsidR="00A07B51" w:rsidRPr="00DC034D" w:rsidRDefault="00A07B51" w:rsidP="000864D5">
            <w:pPr>
              <w:pStyle w:val="Tabletextbullets"/>
            </w:pPr>
            <w:r w:rsidRPr="00E61328">
              <w:rPr>
                <w:i/>
              </w:rPr>
              <w:t xml:space="preserve">Review and assessment of </w:t>
            </w:r>
            <w:r w:rsidR="00011594" w:rsidRPr="00E61328">
              <w:rPr>
                <w:i/>
              </w:rPr>
              <w:t>Anglo-Saxon and Norman England, c1060–88</w:t>
            </w:r>
            <w:r w:rsidR="00011594">
              <w:t>.</w:t>
            </w:r>
          </w:p>
        </w:tc>
      </w:tr>
    </w:tbl>
    <w:p w14:paraId="3DA9DBDC" w14:textId="77777777" w:rsidR="004F15B2" w:rsidRDefault="004F15B2" w:rsidP="00A07B51">
      <w:pPr>
        <w:pStyle w:val="text"/>
        <w:ind w:left="0"/>
      </w:pPr>
    </w:p>
    <w:sectPr w:rsidR="004F15B2" w:rsidSect="00316446">
      <w:headerReference w:type="even" r:id="rId17"/>
      <w:pgSz w:w="16840" w:h="11900" w:orient="landscape" w:code="9"/>
      <w:pgMar w:top="1418" w:right="1418" w:bottom="1418" w:left="1134" w:header="567" w:footer="567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1">
      <wne:acd wne:acdName="acd0"/>
    </wne:keymap>
    <wne:keymap wne:kcmPrimary="0262">
      <wne:acd wne:acdName="acd4"/>
    </wne:keymap>
    <wne:keymap wne:kcmPrimary="0263">
      <wne:acd wne:acdName="acd7"/>
    </wne:keymap>
    <wne:keymap wne:kcmPrimary="0264">
      <wne:acd wne:acdName="acd36"/>
    </wne:keymap>
    <wne:keymap wne:kcmPrimary="0265">
      <wne:acd wne:acdName="acd37"/>
    </wne:keymap>
    <wne:keymap wne:kcmPrimary="0266">
      <wne:acd wne:acdName="acd20"/>
    </wne:keymap>
    <wne:keymap wne:kcmPrimary="0267">
      <wne:acd wne:acdName="acd29"/>
    </wne:keymap>
    <wne:keymap wne:kcmPrimary="0268">
      <wne:acd wne:acdName="acd23"/>
    </wne:keymap>
    <wne:keymap wne:kcmPrimary="02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" wne:acdName="acd2" wne:fciIndexBasedOn="0065"/>
    <wne:acd wne:argValue="" wne:acdName="acd3" wne:fciIndexBasedOn="0065"/>
    <wne:acd wne:argValue="AgBCACAAaABlAGEAZAA=" wne:acdName="acd4" wne:fciIndexBasedOn="0065"/>
    <wne:acd wne:acdName="acd5" wne:fciIndexBasedOn="0065"/>
    <wne:acd wne:acdName="acd6" wne:fciIndexBasedOn="0065"/>
    <wne:acd wne:argValue="AgBDACAAaABlAGEAZAA=" wne:acdName="acd7" wne:fciIndexBasedOn="0065"/>
    <wne:acd wne:argValue="" wne:acdName="acd8" wne:fciIndexBasedOn="0065"/>
    <wne:acd wne:argValue="AgBDAHIAbwBzAHMAIAByAGUAZgBlAHIAZQBuAGMAZQA=" wne:acdName="acd9" wne:fciIndexBasedOn="0065"/>
    <wne:acd wne:argValue="AgBGAGUAYQB0AHUAcgBlACAAMQAgAGgAZQBhAGQA" wne:acdName="acd10" wne:fciIndexBasedOn="0065"/>
    <wne:acd wne:argValue="AgBGAGUAYQB0AHUAcgBlACAAMQAgAHMAdQBiAC0AaABlAGEAZAA=" wne:acdName="acd11" wne:fciIndexBasedOn="0065"/>
    <wne:acd wne:argValue="AgBGAGUAYQB0AHUAcgBlACAAMQAgAHQAZQB4AHQA"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GAGUAYQB0AHUAcgBlACAAMgAgAGgAZQBhAGQA" wne:acdName="acd15" wne:fciIndexBasedOn="0065"/>
    <wne:acd wne:argValue="AgBGAGUAYQB0AHUAcgBlACAAMgAgAHMAdQBiAC0AaABlAGEAZAA=" wne:acdName="acd16" wne:fciIndexBasedOn="0065"/>
    <wne:acd wne:argValue="AgBGAGUAYQB0AHUAcgBlACAAMgAgAHQAZQB4AHQA" wne:acdName="acd17" wne:fciIndexBasedOn="0065"/>
    <wne:acd wne:argValue="AgBGAGUAYQB0AHUAcgBlACAAMgAgAHQAZQB4AHQAIABiAHUAbABsAGUAdABzAA==" wne:acdName="acd18" wne:fciIndexBasedOn="0065"/>
    <wne:acd wne:argValue="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UAGUAeAB0ACAAbwBuACAAdwByAGkAdABpAG4AZwAgAGwAaQBuAGUA" wne:acdName="acd25" wne:fciIndexBasedOn="0065"/>
    <wne:acd wne:argValue="AgBVAG4AaQB0ACAAaABlAGEAZAA=" wne:acdName="acd26" wne:fciIndexBasedOn="0065"/>
    <wne:acd wne:argValue="AgBBAGwAcABoAGEAIABsAGkAcwB0AA==" wne:acdName="acd27" wne:fciIndexBasedOn="0065"/>
    <wne:acd wne:argValue="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UAGEAYgBsAGUAIAA0AA==" wne:acdName="acd33" wne:fciIndexBasedOn="0065"/>
    <wne:acd wne:argValue="" wne:acdName="acd34" wne:fciIndexBasedOn="0065"/>
    <wne:acd wne:argValue="AgBGAGUAYQB0AHUAcgBlACAAMgAgAHQAZQB4AHQAIABuAHUAbQBiAGUAcgBlAGQAIABsAGkAcwB0&#10;AA==" wne:acdName="acd35" wne:fciIndexBasedOn="0065"/>
    <wne:acd wne:argValue="AgB0AGUAeAB0AA==" wne:acdName="acd36" wne:fciIndexBasedOn="0065"/>
    <wne:acd wne:argValue="AgB0AGUAeAB0ACAAYgB1AGwAbABlAHQAcwA=" wne:acdName="acd37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CE5F2" w14:textId="77777777" w:rsidR="005868EE" w:rsidRDefault="005868EE">
      <w:r>
        <w:separator/>
      </w:r>
    </w:p>
  </w:endnote>
  <w:endnote w:type="continuationSeparator" w:id="0">
    <w:p w14:paraId="5434F179" w14:textId="77777777" w:rsidR="005868EE" w:rsidRDefault="00586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yriad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 Pro Light">
    <w:altName w:val="Myriad Pro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 Bold">
    <w:altName w:val="Verdana"/>
    <w:panose1 w:val="020B080403050404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149E7" w14:textId="77777777" w:rsidR="00E61753" w:rsidRDefault="008B4EFA">
    <w:pPr>
      <w:pStyle w:val="Footer"/>
    </w:pPr>
    <w:r>
      <w:rPr>
        <w:noProof/>
        <w:lang w:eastAsia="en-GB"/>
      </w:rPr>
      <w:pict w14:anchorId="61C08B8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left:0;text-align:left;margin-left:-43.15pt;margin-top:-21.75pt;width:813.55pt;height:40pt;z-index:3;mso-wrap-edited:f">
          <v:imagedata r:id="rId1" o:title="GCSE landscape bottom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C8C63" w14:textId="77777777" w:rsidR="00E61753" w:rsidRDefault="008B4EFA" w:rsidP="00475133">
    <w:r>
      <w:rPr>
        <w:noProof/>
        <w:lang w:eastAsia="en-GB"/>
      </w:rPr>
      <w:pict w14:anchorId="2C2DFF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42.25pt;margin-top:-21.25pt;width:813.55pt;height:40pt;z-index:2;mso-wrap-edited:f">
          <v:imagedata r:id="rId1" o:title="GCSE landscape bottom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2AC21" w14:textId="77777777" w:rsidR="00796BC2" w:rsidRDefault="00796BC2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60B85">
      <w:rPr>
        <w:noProof/>
      </w:rPr>
      <w:t>2</w:t>
    </w:r>
    <w:r>
      <w:fldChar w:fldCharType="end"/>
    </w:r>
  </w:p>
  <w:p w14:paraId="31125A1C" w14:textId="77777777" w:rsidR="00796BC2" w:rsidRDefault="00796BC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24385" w14:textId="77777777" w:rsidR="00796BC2" w:rsidRDefault="001A118A" w:rsidP="00796BC2">
    <w:pPr>
      <w:pStyle w:val="Footer"/>
    </w:pPr>
    <w:r>
      <w:t xml:space="preserve">Issue </w:t>
    </w:r>
    <w:r w:rsidR="0036219C">
      <w:t>3</w:t>
    </w:r>
    <w:r>
      <w:t xml:space="preserve"> © Pearson Education Ltd 202</w:t>
    </w:r>
    <w:r w:rsidR="0036219C">
      <w:t>4</w:t>
    </w:r>
  </w:p>
  <w:p w14:paraId="4A651E1B" w14:textId="77777777" w:rsidR="00796BC2" w:rsidRDefault="00796BC2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257EF">
      <w:rPr>
        <w:noProof/>
      </w:rPr>
      <w:t>1</w:t>
    </w:r>
    <w:r>
      <w:fldChar w:fldCharType="end"/>
    </w:r>
  </w:p>
  <w:p w14:paraId="2440D504" w14:textId="77777777" w:rsidR="00796BC2" w:rsidRDefault="00796B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8FDC1" w14:textId="77777777" w:rsidR="005868EE" w:rsidRDefault="005868EE">
      <w:r>
        <w:separator/>
      </w:r>
    </w:p>
  </w:footnote>
  <w:footnote w:type="continuationSeparator" w:id="0">
    <w:p w14:paraId="2F6AC2CA" w14:textId="77777777" w:rsidR="005868EE" w:rsidRDefault="005868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D8EB9" w14:textId="77777777" w:rsidR="00E61753" w:rsidRDefault="008B4EFA">
    <w:pPr>
      <w:pStyle w:val="Header"/>
    </w:pPr>
    <w:r>
      <w:rPr>
        <w:noProof/>
      </w:rPr>
      <w:pict w14:anchorId="09FD9E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-56.7pt;margin-top:-28.25pt;width:845pt;height:596.4pt;z-index:-1;mso-wrap-edited:f">
          <v:imagedata r:id="rId1" o:title="GCSE_History_L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4B9B9" w14:textId="77777777" w:rsidR="00E61753" w:rsidRDefault="008B4EFA">
    <w:pPr>
      <w:pStyle w:val="Header"/>
    </w:pPr>
    <w:r>
      <w:rPr>
        <w:noProof/>
        <w:lang w:eastAsia="en-GB"/>
      </w:rPr>
      <w:pict w14:anchorId="32B6DC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0;margin-top:0;width:841.9pt;height:595.7pt;z-index:1;mso-wrap-edited:f;mso-position-horizontal:left;mso-position-horizontal-relative:page;mso-position-vertical:top;mso-position-vertical-relative:page">
          <v:imagedata r:id="rId1" o:title="GCSE_FrenchLscapeFCwDraftStamp"/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D546" w14:textId="77777777" w:rsidR="00796BC2" w:rsidRDefault="00796BC2" w:rsidP="00007504">
    <w:pPr>
      <w:pStyle w:val="Icon"/>
      <w:framePr w:wrap="around"/>
    </w:pPr>
  </w:p>
  <w:p w14:paraId="1C7C9F8B" w14:textId="77777777" w:rsidR="00796BC2" w:rsidRDefault="00796BC2" w:rsidP="00007504">
    <w:pPr>
      <w:pStyle w:val="HeaderOdd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9B48B" w14:textId="77777777" w:rsidR="00796BC2" w:rsidRDefault="00796BC2" w:rsidP="00007504">
    <w:pPr>
      <w:pStyle w:val="IconRight"/>
      <w:framePr w:wrap="around"/>
    </w:pPr>
  </w:p>
  <w:p w14:paraId="68A00F30" w14:textId="77777777" w:rsidR="00796BC2" w:rsidRDefault="00796BC2" w:rsidP="002A49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FB2B6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0064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FE48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A1E01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EC6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AC13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7EF8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36FA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C4E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AAE2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75D28C06"/>
    <w:styleLink w:val="Listroman"/>
    <w:lvl w:ilvl="0">
      <w:start w:val="1"/>
      <w:numFmt w:val="lowerRoman"/>
      <w:lvlText w:val="%1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2CE4C3E"/>
    <w:multiLevelType w:val="singleLevel"/>
    <w:tmpl w:val="84E850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2" w15:restartNumberingAfterBreak="0">
    <w:nsid w:val="04DE59B0"/>
    <w:multiLevelType w:val="hybridMultilevel"/>
    <w:tmpl w:val="5D62F36C"/>
    <w:lvl w:ilvl="0" w:tplc="3C0040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9D6F32"/>
    <w:multiLevelType w:val="multilevel"/>
    <w:tmpl w:val="29505346"/>
    <w:styleLink w:val="Listtable"/>
    <w:lvl w:ilvl="0">
      <w:start w:val="1"/>
      <w:numFmt w:val="decimal"/>
      <w:pStyle w:val="Tabletextnumberedlist"/>
      <w:lvlText w:val="%1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9410486"/>
    <w:multiLevelType w:val="hybridMultilevel"/>
    <w:tmpl w:val="93FC8EFE"/>
    <w:lvl w:ilvl="0" w:tplc="1B48FCC8">
      <w:start w:val="1"/>
      <w:numFmt w:val="bullet"/>
      <w:pStyle w:val="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B00C07"/>
    <w:multiLevelType w:val="hybridMultilevel"/>
    <w:tmpl w:val="5134C934"/>
    <w:lvl w:ilvl="0" w:tplc="4E0A5C58">
      <w:start w:val="1"/>
      <w:numFmt w:val="decimal"/>
      <w:pStyle w:val="Numberedlist"/>
      <w:lvlText w:val="%1"/>
      <w:lvlJc w:val="left"/>
      <w:pPr>
        <w:ind w:left="12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1E5D0997"/>
    <w:multiLevelType w:val="hybridMultilevel"/>
    <w:tmpl w:val="47B8EF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22BF1"/>
    <w:multiLevelType w:val="hybridMultilevel"/>
    <w:tmpl w:val="21BC9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026756"/>
    <w:multiLevelType w:val="hybridMultilevel"/>
    <w:tmpl w:val="7160EC94"/>
    <w:lvl w:ilvl="0" w:tplc="8458B106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olor w:val="auto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80E43E76"/>
    <w:numStyleLink w:val="Listnum"/>
  </w:abstractNum>
  <w:abstractNum w:abstractNumId="20" w15:restartNumberingAfterBreak="0">
    <w:nsid w:val="2A634C4B"/>
    <w:multiLevelType w:val="hybridMultilevel"/>
    <w:tmpl w:val="FACAC444"/>
    <w:lvl w:ilvl="0" w:tplc="FFFFFFFF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F3715"/>
    <w:multiLevelType w:val="multilevel"/>
    <w:tmpl w:val="80E43E76"/>
    <w:numStyleLink w:val="Listnum"/>
  </w:abstractNum>
  <w:abstractNum w:abstractNumId="22" w15:restartNumberingAfterBreak="0">
    <w:nsid w:val="390D7980"/>
    <w:multiLevelType w:val="hybridMultilevel"/>
    <w:tmpl w:val="8DC8BE30"/>
    <w:lvl w:ilvl="0" w:tplc="4864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EA6604"/>
    <w:multiLevelType w:val="hybridMultilevel"/>
    <w:tmpl w:val="0BD8CC68"/>
    <w:lvl w:ilvl="0" w:tplc="48647D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164966"/>
    <w:multiLevelType w:val="hybridMultilevel"/>
    <w:tmpl w:val="5A0E2A64"/>
    <w:lvl w:ilvl="0" w:tplc="48647D16">
      <w:start w:val="1"/>
      <w:numFmt w:val="bullet"/>
      <w:lvlText w:val=""/>
      <w:lvlJc w:val="left"/>
      <w:pPr>
        <w:ind w:left="6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</w:abstractNum>
  <w:abstractNum w:abstractNumId="25" w15:restartNumberingAfterBreak="0">
    <w:nsid w:val="4BE41C96"/>
    <w:multiLevelType w:val="hybridMultilevel"/>
    <w:tmpl w:val="190E9CE8"/>
    <w:lvl w:ilvl="0" w:tplc="FFFFFFFF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786405"/>
    <w:multiLevelType w:val="hybridMultilevel"/>
    <w:tmpl w:val="A052D274"/>
    <w:lvl w:ilvl="0" w:tplc="48647D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F077B4D"/>
    <w:multiLevelType w:val="hybridMultilevel"/>
    <w:tmpl w:val="300CBC1E"/>
    <w:lvl w:ilvl="0" w:tplc="48647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E279B0"/>
    <w:multiLevelType w:val="multilevel"/>
    <w:tmpl w:val="29505346"/>
    <w:numStyleLink w:val="Listtable"/>
  </w:abstractNum>
  <w:abstractNum w:abstractNumId="29" w15:restartNumberingAfterBreak="0">
    <w:nsid w:val="66D24E1B"/>
    <w:multiLevelType w:val="hybridMultilevel"/>
    <w:tmpl w:val="4E86F13C"/>
    <w:lvl w:ilvl="0" w:tplc="48647D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F43C3202"/>
    <w:styleLink w:val="Listfeature"/>
    <w:lvl w:ilvl="0">
      <w:start w:val="1"/>
      <w:numFmt w:val="decimal"/>
      <w:pStyle w:val="Feature1textnumberedlist"/>
      <w:lvlText w:val="%1"/>
      <w:lvlJc w:val="left"/>
      <w:pPr>
        <w:tabs>
          <w:tab w:val="num" w:pos="505"/>
        </w:tabs>
        <w:ind w:left="505" w:hanging="397"/>
      </w:pPr>
      <w:rPr>
        <w:rFonts w:ascii="Verdana" w:hAnsi="Verdana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246464C"/>
    <w:multiLevelType w:val="hybridMultilevel"/>
    <w:tmpl w:val="B2F04BC6"/>
    <w:lvl w:ilvl="0" w:tplc="48647D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E226D"/>
    <w:multiLevelType w:val="multilevel"/>
    <w:tmpl w:val="2EC6BFAE"/>
    <w:styleLink w:val="Listalpha"/>
    <w:lvl w:ilvl="0">
      <w:start w:val="1"/>
      <w:numFmt w:val="lowerLetter"/>
      <w:pStyle w:val="Alphalist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75E357D0"/>
    <w:multiLevelType w:val="hybridMultilevel"/>
    <w:tmpl w:val="FCD06822"/>
    <w:lvl w:ilvl="0" w:tplc="BFBE8B2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30377C"/>
    <w:multiLevelType w:val="multilevel"/>
    <w:tmpl w:val="80E43E76"/>
    <w:styleLink w:val="Listnum"/>
    <w:lvl w:ilvl="0">
      <w:start w:val="1"/>
      <w:numFmt w:val="decimal"/>
      <w:pStyle w:val="Feature2textnumberedlist"/>
      <w:lvlText w:val="%1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D5B53CF"/>
    <w:multiLevelType w:val="hybridMultilevel"/>
    <w:tmpl w:val="01B27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1737186">
    <w:abstractNumId w:val="34"/>
  </w:num>
  <w:num w:numId="2" w16cid:durableId="224803708">
    <w:abstractNumId w:val="32"/>
  </w:num>
  <w:num w:numId="3" w16cid:durableId="1355770908">
    <w:abstractNumId w:val="10"/>
  </w:num>
  <w:num w:numId="4" w16cid:durableId="1299072358">
    <w:abstractNumId w:val="33"/>
  </w:num>
  <w:num w:numId="5" w16cid:durableId="610208401">
    <w:abstractNumId w:val="20"/>
  </w:num>
  <w:num w:numId="6" w16cid:durableId="375811072">
    <w:abstractNumId w:val="21"/>
  </w:num>
  <w:num w:numId="7" w16cid:durableId="295918798">
    <w:abstractNumId w:val="19"/>
  </w:num>
  <w:num w:numId="8" w16cid:durableId="193663191">
    <w:abstractNumId w:val="30"/>
  </w:num>
  <w:num w:numId="9" w16cid:durableId="975992691">
    <w:abstractNumId w:val="14"/>
  </w:num>
  <w:num w:numId="10" w16cid:durableId="1364284459">
    <w:abstractNumId w:val="31"/>
  </w:num>
  <w:num w:numId="11" w16cid:durableId="798229322">
    <w:abstractNumId w:val="13"/>
  </w:num>
  <w:num w:numId="12" w16cid:durableId="1794398665">
    <w:abstractNumId w:val="28"/>
  </w:num>
  <w:num w:numId="13" w16cid:durableId="774599507">
    <w:abstractNumId w:val="9"/>
  </w:num>
  <w:num w:numId="14" w16cid:durableId="2038848572">
    <w:abstractNumId w:val="7"/>
  </w:num>
  <w:num w:numId="15" w16cid:durableId="883835874">
    <w:abstractNumId w:val="6"/>
  </w:num>
  <w:num w:numId="16" w16cid:durableId="1710060593">
    <w:abstractNumId w:val="5"/>
  </w:num>
  <w:num w:numId="17" w16cid:durableId="1054743680">
    <w:abstractNumId w:val="4"/>
  </w:num>
  <w:num w:numId="18" w16cid:durableId="179664539">
    <w:abstractNumId w:val="8"/>
  </w:num>
  <w:num w:numId="19" w16cid:durableId="1560748554">
    <w:abstractNumId w:val="3"/>
  </w:num>
  <w:num w:numId="20" w16cid:durableId="177739422">
    <w:abstractNumId w:val="2"/>
  </w:num>
  <w:num w:numId="21" w16cid:durableId="1699699533">
    <w:abstractNumId w:val="1"/>
  </w:num>
  <w:num w:numId="22" w16cid:durableId="1889879124">
    <w:abstractNumId w:val="0"/>
  </w:num>
  <w:num w:numId="23" w16cid:durableId="2133136205">
    <w:abstractNumId w:val="11"/>
  </w:num>
  <w:num w:numId="24" w16cid:durableId="668170754">
    <w:abstractNumId w:val="15"/>
  </w:num>
  <w:num w:numId="25" w16cid:durableId="2092657705">
    <w:abstractNumId w:val="27"/>
  </w:num>
  <w:num w:numId="26" w16cid:durableId="550460012">
    <w:abstractNumId w:val="26"/>
  </w:num>
  <w:num w:numId="27" w16cid:durableId="560485660">
    <w:abstractNumId w:val="18"/>
  </w:num>
  <w:num w:numId="28" w16cid:durableId="1796867457">
    <w:abstractNumId w:val="29"/>
  </w:num>
  <w:num w:numId="29" w16cid:durableId="1662343647">
    <w:abstractNumId w:val="16"/>
  </w:num>
  <w:num w:numId="30" w16cid:durableId="51848786">
    <w:abstractNumId w:val="31"/>
  </w:num>
  <w:num w:numId="31" w16cid:durableId="1659071706">
    <w:abstractNumId w:val="12"/>
  </w:num>
  <w:num w:numId="32" w16cid:durableId="939027671">
    <w:abstractNumId w:val="24"/>
  </w:num>
  <w:num w:numId="33" w16cid:durableId="1292831905">
    <w:abstractNumId w:val="23"/>
  </w:num>
  <w:num w:numId="34" w16cid:durableId="601105813">
    <w:abstractNumId w:val="17"/>
  </w:num>
  <w:num w:numId="35" w16cid:durableId="2001928350">
    <w:abstractNumId w:val="22"/>
  </w:num>
  <w:num w:numId="36" w16cid:durableId="1754427285">
    <w:abstractNumId w:val="35"/>
  </w:num>
  <w:num w:numId="37" w16cid:durableId="118963420">
    <w:abstractNumId w:val="25"/>
  </w:num>
  <w:num w:numId="38" w16cid:durableId="292103424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7E55"/>
    <w:rsid w:val="00003F80"/>
    <w:rsid w:val="00007504"/>
    <w:rsid w:val="00011594"/>
    <w:rsid w:val="00037743"/>
    <w:rsid w:val="00060B85"/>
    <w:rsid w:val="000864D5"/>
    <w:rsid w:val="000B32B0"/>
    <w:rsid w:val="000D1FB8"/>
    <w:rsid w:val="00130940"/>
    <w:rsid w:val="0013538B"/>
    <w:rsid w:val="00190A77"/>
    <w:rsid w:val="001A118A"/>
    <w:rsid w:val="001A174D"/>
    <w:rsid w:val="001B3491"/>
    <w:rsid w:val="002120AB"/>
    <w:rsid w:val="002229E7"/>
    <w:rsid w:val="002257EF"/>
    <w:rsid w:val="0026023F"/>
    <w:rsid w:val="0027773D"/>
    <w:rsid w:val="00282954"/>
    <w:rsid w:val="002A21ED"/>
    <w:rsid w:val="002A4917"/>
    <w:rsid w:val="002E26C7"/>
    <w:rsid w:val="002F74B2"/>
    <w:rsid w:val="003125F8"/>
    <w:rsid w:val="00313DFD"/>
    <w:rsid w:val="00316446"/>
    <w:rsid w:val="00324D84"/>
    <w:rsid w:val="0036219C"/>
    <w:rsid w:val="00377CAC"/>
    <w:rsid w:val="003B10CF"/>
    <w:rsid w:val="003E693A"/>
    <w:rsid w:val="003F4E77"/>
    <w:rsid w:val="00407988"/>
    <w:rsid w:val="00415D03"/>
    <w:rsid w:val="00416835"/>
    <w:rsid w:val="00447A52"/>
    <w:rsid w:val="00452AAB"/>
    <w:rsid w:val="00461D34"/>
    <w:rsid w:val="00466FDA"/>
    <w:rsid w:val="00475133"/>
    <w:rsid w:val="004A7E9D"/>
    <w:rsid w:val="004C3BF4"/>
    <w:rsid w:val="004F12C4"/>
    <w:rsid w:val="004F15B2"/>
    <w:rsid w:val="004F163A"/>
    <w:rsid w:val="00532F9E"/>
    <w:rsid w:val="00557C06"/>
    <w:rsid w:val="00574FFE"/>
    <w:rsid w:val="00580B47"/>
    <w:rsid w:val="00583474"/>
    <w:rsid w:val="005868EE"/>
    <w:rsid w:val="0059686E"/>
    <w:rsid w:val="005B0644"/>
    <w:rsid w:val="005E660E"/>
    <w:rsid w:val="005F3BCE"/>
    <w:rsid w:val="00621844"/>
    <w:rsid w:val="006328BB"/>
    <w:rsid w:val="00632C67"/>
    <w:rsid w:val="006423C2"/>
    <w:rsid w:val="0065089D"/>
    <w:rsid w:val="0067130A"/>
    <w:rsid w:val="006C399D"/>
    <w:rsid w:val="00705660"/>
    <w:rsid w:val="0072083E"/>
    <w:rsid w:val="007279BC"/>
    <w:rsid w:val="0074441C"/>
    <w:rsid w:val="00745018"/>
    <w:rsid w:val="00761E0A"/>
    <w:rsid w:val="00791717"/>
    <w:rsid w:val="00796BC2"/>
    <w:rsid w:val="007A1691"/>
    <w:rsid w:val="007B4C9E"/>
    <w:rsid w:val="007D198F"/>
    <w:rsid w:val="007E2D00"/>
    <w:rsid w:val="007E2E98"/>
    <w:rsid w:val="00805336"/>
    <w:rsid w:val="008449A7"/>
    <w:rsid w:val="008567DD"/>
    <w:rsid w:val="0086054A"/>
    <w:rsid w:val="00882486"/>
    <w:rsid w:val="0089122D"/>
    <w:rsid w:val="00892512"/>
    <w:rsid w:val="008A1B52"/>
    <w:rsid w:val="008A32F0"/>
    <w:rsid w:val="008A3601"/>
    <w:rsid w:val="008B10E5"/>
    <w:rsid w:val="008B4EFA"/>
    <w:rsid w:val="008D3CA4"/>
    <w:rsid w:val="008E4299"/>
    <w:rsid w:val="008F0D2A"/>
    <w:rsid w:val="008F1506"/>
    <w:rsid w:val="008F6B94"/>
    <w:rsid w:val="00900C7F"/>
    <w:rsid w:val="00912436"/>
    <w:rsid w:val="0091514E"/>
    <w:rsid w:val="0093385A"/>
    <w:rsid w:val="009861C4"/>
    <w:rsid w:val="009D71A3"/>
    <w:rsid w:val="009F6B1C"/>
    <w:rsid w:val="00A010A8"/>
    <w:rsid w:val="00A07B51"/>
    <w:rsid w:val="00A16B38"/>
    <w:rsid w:val="00A23C84"/>
    <w:rsid w:val="00A42441"/>
    <w:rsid w:val="00A56FE6"/>
    <w:rsid w:val="00A9252F"/>
    <w:rsid w:val="00AC7311"/>
    <w:rsid w:val="00AE7278"/>
    <w:rsid w:val="00B50ED0"/>
    <w:rsid w:val="00B61AC4"/>
    <w:rsid w:val="00B84960"/>
    <w:rsid w:val="00BA3CE0"/>
    <w:rsid w:val="00BE0AF1"/>
    <w:rsid w:val="00BF35E2"/>
    <w:rsid w:val="00C25E05"/>
    <w:rsid w:val="00C508DF"/>
    <w:rsid w:val="00CB422F"/>
    <w:rsid w:val="00CC5D35"/>
    <w:rsid w:val="00CE495F"/>
    <w:rsid w:val="00D34266"/>
    <w:rsid w:val="00D479BD"/>
    <w:rsid w:val="00D86DAD"/>
    <w:rsid w:val="00DD1B75"/>
    <w:rsid w:val="00E15475"/>
    <w:rsid w:val="00E24ABF"/>
    <w:rsid w:val="00E61328"/>
    <w:rsid w:val="00E61753"/>
    <w:rsid w:val="00E656F5"/>
    <w:rsid w:val="00E6713E"/>
    <w:rsid w:val="00E76364"/>
    <w:rsid w:val="00E87149"/>
    <w:rsid w:val="00E90A1E"/>
    <w:rsid w:val="00ED2DD5"/>
    <w:rsid w:val="00F91692"/>
    <w:rsid w:val="00FB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218D7BE"/>
  <w15:chartTrackingRefBased/>
  <w15:docId w15:val="{BBE11212-170C-4E8F-A87B-1F0B4C395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annotation subjec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7F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link w:val="FooterChar"/>
    <w:uiPriority w:val="99"/>
    <w:rsid w:val="00FF3F3D"/>
    <w:pPr>
      <w:pBdr>
        <w:top w:val="single" w:sz="6" w:space="4" w:color="828172"/>
      </w:pBdr>
      <w:ind w:left="-57" w:right="-57"/>
    </w:pPr>
    <w:rPr>
      <w:rFonts w:ascii="Verdana" w:hAnsi="Verdana"/>
      <w:sz w:val="14"/>
      <w:szCs w:val="24"/>
      <w:lang w:eastAsia="en-US"/>
    </w:rPr>
  </w:style>
  <w:style w:type="paragraph" w:styleId="Header">
    <w:name w:val="header"/>
    <w:link w:val="HeaderChar"/>
    <w:rsid w:val="00731BE6"/>
    <w:pPr>
      <w:spacing w:before="260"/>
      <w:jc w:val="right"/>
    </w:pPr>
    <w:rPr>
      <w:rFonts w:ascii="Verdana" w:hAnsi="Verdana"/>
      <w:b/>
      <w:color w:val="405E64"/>
      <w:sz w:val="19"/>
      <w:szCs w:val="24"/>
      <w:lang w:eastAsia="en-US"/>
    </w:rPr>
  </w:style>
  <w:style w:type="paragraph" w:customStyle="1" w:styleId="Unithead">
    <w:name w:val="Unit head"/>
    <w:next w:val="text"/>
    <w:qFormat/>
    <w:rsid w:val="00395F49"/>
    <w:pPr>
      <w:pBdr>
        <w:top w:val="single" w:sz="8" w:space="2" w:color="827B72"/>
        <w:bottom w:val="single" w:sz="8" w:space="2" w:color="827B72"/>
      </w:pBdr>
      <w:spacing w:after="360" w:line="440" w:lineRule="exact"/>
      <w:ind w:left="28" w:right="284"/>
    </w:pPr>
    <w:rPr>
      <w:rFonts w:ascii="Verdana" w:hAnsi="Verdana"/>
      <w:b/>
      <w:color w:val="405E64"/>
      <w:sz w:val="40"/>
      <w:szCs w:val="50"/>
    </w:rPr>
  </w:style>
  <w:style w:type="paragraph" w:styleId="TOC1">
    <w:name w:val="toc 1"/>
    <w:next w:val="TOC2"/>
    <w:uiPriority w:val="39"/>
    <w:rsid w:val="00E94D68"/>
    <w:pPr>
      <w:widowControl w:val="0"/>
      <w:tabs>
        <w:tab w:val="right" w:pos="8789"/>
      </w:tabs>
      <w:spacing w:before="60" w:after="60" w:line="300" w:lineRule="atLeast"/>
      <w:ind w:right="284"/>
    </w:pPr>
    <w:rPr>
      <w:rFonts w:ascii="Verdana" w:hAnsi="Verdana"/>
      <w:b/>
      <w:noProof/>
      <w:snapToGrid w:val="0"/>
      <w:sz w:val="26"/>
      <w:lang w:eastAsia="en-US"/>
    </w:rPr>
  </w:style>
  <w:style w:type="character" w:styleId="PageNumber">
    <w:name w:val="page number"/>
    <w:rsid w:val="00C07932"/>
    <w:rPr>
      <w:rFonts w:ascii="Verdana" w:hAnsi="Verdana"/>
      <w:b/>
      <w:color w:val="405E64"/>
    </w:rPr>
  </w:style>
  <w:style w:type="paragraph" w:customStyle="1" w:styleId="Ahead">
    <w:name w:val="A head"/>
    <w:next w:val="text"/>
    <w:qFormat/>
    <w:rsid w:val="00395F49"/>
    <w:pPr>
      <w:keepNext/>
      <w:pBdr>
        <w:bottom w:val="single" w:sz="8" w:space="1" w:color="827B72"/>
      </w:pBdr>
      <w:spacing w:before="120" w:after="360"/>
    </w:pPr>
    <w:rPr>
      <w:rFonts w:ascii="Verdana" w:hAnsi="Verdana"/>
      <w:b/>
      <w:color w:val="405E64"/>
      <w:sz w:val="32"/>
      <w:szCs w:val="24"/>
      <w:lang w:eastAsia="en-US"/>
    </w:rPr>
  </w:style>
  <w:style w:type="paragraph" w:customStyle="1" w:styleId="Bhead">
    <w:name w:val="B head"/>
    <w:next w:val="text"/>
    <w:qFormat/>
    <w:rsid w:val="000B4ACD"/>
    <w:pPr>
      <w:keepNext/>
      <w:spacing w:before="240" w:after="120"/>
    </w:pPr>
    <w:rPr>
      <w:rFonts w:ascii="Verdana" w:hAnsi="Verdana" w:cs="Arial"/>
      <w:b/>
      <w:color w:val="405E64"/>
      <w:sz w:val="26"/>
      <w:szCs w:val="24"/>
      <w:lang w:eastAsia="en-US"/>
    </w:rPr>
  </w:style>
  <w:style w:type="paragraph" w:customStyle="1" w:styleId="Chead">
    <w:name w:val="C head"/>
    <w:next w:val="text"/>
    <w:qFormat/>
    <w:rsid w:val="00356A7E"/>
    <w:pPr>
      <w:keepNext/>
      <w:spacing w:before="240" w:after="120"/>
      <w:ind w:left="567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text">
    <w:name w:val="text"/>
    <w:qFormat/>
    <w:rsid w:val="004F33FE"/>
    <w:pPr>
      <w:spacing w:before="80" w:after="60" w:line="240" w:lineRule="atLeast"/>
      <w:ind w:left="567"/>
    </w:pPr>
    <w:rPr>
      <w:rFonts w:ascii="Verdana" w:hAnsi="Verdana" w:cs="Arial"/>
      <w:szCs w:val="24"/>
      <w:lang w:eastAsia="en-US"/>
    </w:rPr>
  </w:style>
  <w:style w:type="paragraph" w:customStyle="1" w:styleId="textbullets">
    <w:name w:val="text bullets"/>
    <w:link w:val="textbulletsChar"/>
    <w:qFormat/>
    <w:rsid w:val="004F33FE"/>
    <w:pPr>
      <w:numPr>
        <w:numId w:val="9"/>
      </w:numPr>
      <w:tabs>
        <w:tab w:val="clear" w:pos="397"/>
        <w:tab w:val="left" w:pos="964"/>
      </w:tabs>
      <w:spacing w:before="80" w:after="60" w:line="240" w:lineRule="atLeast"/>
      <w:ind w:left="964"/>
    </w:pPr>
    <w:rPr>
      <w:rFonts w:ascii="Verdana" w:hAnsi="Verdana"/>
      <w:szCs w:val="24"/>
      <w:lang w:eastAsia="es-ES_tradnl"/>
    </w:rPr>
  </w:style>
  <w:style w:type="numbering" w:customStyle="1" w:styleId="Listnum">
    <w:name w:val="List num"/>
    <w:basedOn w:val="NoList"/>
    <w:semiHidden/>
    <w:rsid w:val="00662D9D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FF1E30"/>
    <w:rPr>
      <w:rFonts w:ascii="Verdana" w:hAnsi="Verdana" w:cs="Arial"/>
      <w:szCs w:val="24"/>
      <w:lang w:val="en-GB" w:eastAsia="en-US" w:bidi="ar-SA"/>
    </w:rPr>
  </w:style>
  <w:style w:type="paragraph" w:customStyle="1" w:styleId="Numberedlist">
    <w:name w:val="Numbered list"/>
    <w:qFormat/>
    <w:rsid w:val="00AC5366"/>
    <w:pPr>
      <w:numPr>
        <w:numId w:val="24"/>
      </w:numPr>
      <w:tabs>
        <w:tab w:val="left" w:pos="964"/>
      </w:tabs>
      <w:spacing w:before="80" w:after="60" w:line="240" w:lineRule="atLeast"/>
      <w:ind w:left="964" w:hanging="397"/>
    </w:pPr>
    <w:rPr>
      <w:rFonts w:ascii="Verdana" w:hAnsi="Verdana"/>
      <w:szCs w:val="24"/>
    </w:rPr>
  </w:style>
  <w:style w:type="paragraph" w:customStyle="1" w:styleId="Feature1head">
    <w:name w:val="Feature 1 head"/>
    <w:next w:val="Feature1text"/>
    <w:qFormat/>
    <w:rsid w:val="00925DAB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spacing w:before="80" w:after="60"/>
      <w:ind w:left="675" w:right="108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925DAB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spacing w:before="80" w:after="60"/>
      <w:ind w:left="675" w:right="108"/>
    </w:pPr>
    <w:rPr>
      <w:rFonts w:ascii="Verdana" w:hAnsi="Verdana" w:cs="Arial"/>
      <w:b/>
      <w:szCs w:val="24"/>
      <w:lang w:eastAsia="en-US"/>
    </w:rPr>
  </w:style>
  <w:style w:type="paragraph" w:customStyle="1" w:styleId="Feature1text">
    <w:name w:val="Feature 1 text"/>
    <w:qFormat/>
    <w:rsid w:val="00925DAB"/>
    <w:p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tabs>
        <w:tab w:val="left" w:pos="2114"/>
      </w:tabs>
      <w:spacing w:before="80" w:after="60" w:line="240" w:lineRule="atLeast"/>
      <w:ind w:left="675" w:right="108"/>
    </w:pPr>
    <w:rPr>
      <w:rFonts w:ascii="Verdana" w:hAnsi="Verdana" w:cs="Arial"/>
      <w:szCs w:val="24"/>
      <w:lang w:eastAsia="en-US"/>
    </w:rPr>
  </w:style>
  <w:style w:type="paragraph" w:customStyle="1" w:styleId="Feature1textbullets">
    <w:name w:val="Feature 1 text bullets"/>
    <w:qFormat/>
    <w:rsid w:val="00925DAB"/>
    <w:pPr>
      <w:numPr>
        <w:numId w:val="5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tabs>
        <w:tab w:val="clear" w:pos="505"/>
        <w:tab w:val="num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FF1E30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pacing w:before="80" w:after="60"/>
      <w:ind w:left="675" w:right="108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925DAB"/>
    <w:pPr>
      <w:numPr>
        <w:numId w:val="8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tabs>
        <w:tab w:val="clear" w:pos="505"/>
        <w:tab w:val="num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FF1E30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pacing w:before="80" w:after="60"/>
      <w:ind w:left="675" w:right="108"/>
    </w:pPr>
    <w:rPr>
      <w:rFonts w:ascii="Verdana" w:hAnsi="Verdana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FF1E30"/>
    <w:p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pacing w:before="80" w:after="60" w:line="240" w:lineRule="atLeast"/>
      <w:ind w:left="675" w:right="108"/>
    </w:pPr>
    <w:rPr>
      <w:rFonts w:ascii="Verdana" w:hAnsi="Verdana" w:cs="Arial"/>
      <w:szCs w:val="24"/>
      <w:lang w:eastAsia="en-US"/>
    </w:rPr>
  </w:style>
  <w:style w:type="paragraph" w:customStyle="1" w:styleId="Feature2textbullets">
    <w:name w:val="Feature 2 text bullets"/>
    <w:qFormat/>
    <w:rsid w:val="00FF1E30"/>
    <w:pPr>
      <w:numPr>
        <w:numId w:val="4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tabs>
        <w:tab w:val="clear" w:pos="505"/>
        <w:tab w:val="left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FF1E30"/>
    <w:pPr>
      <w:numPr>
        <w:numId w:val="6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tabs>
        <w:tab w:val="clear" w:pos="397"/>
        <w:tab w:val="left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Tablehead">
    <w:name w:val="Table head"/>
    <w:next w:val="Tabletext"/>
    <w:qFormat/>
    <w:rsid w:val="00926D91"/>
    <w:pPr>
      <w:spacing w:before="80" w:after="60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926D91"/>
    <w:pPr>
      <w:spacing w:before="80" w:after="60"/>
    </w:pPr>
    <w:rPr>
      <w:rFonts w:ascii="Verdana" w:hAnsi="Verdana" w:cs="Arial"/>
      <w:b/>
      <w:szCs w:val="24"/>
      <w:lang w:eastAsia="en-US"/>
    </w:rPr>
  </w:style>
  <w:style w:type="paragraph" w:customStyle="1" w:styleId="Tabletext">
    <w:name w:val="Table text"/>
    <w:rsid w:val="00675DCA"/>
    <w:p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Tabletextbullets">
    <w:name w:val="Table text bullets"/>
    <w:qFormat/>
    <w:rsid w:val="00675DCA"/>
    <w:pPr>
      <w:numPr>
        <w:numId w:val="37"/>
      </w:num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Tabletextnumberedlist">
    <w:name w:val="Table text numbered list"/>
    <w:qFormat/>
    <w:rsid w:val="00E0515F"/>
    <w:pPr>
      <w:numPr>
        <w:numId w:val="12"/>
      </w:num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8867EF"/>
    <w:pPr>
      <w:spacing w:before="60" w:after="60"/>
      <w:ind w:right="851"/>
      <w:jc w:val="right"/>
    </w:pPr>
    <w:rPr>
      <w:rFonts w:ascii="Verdana" w:hAnsi="Verdana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9317A3"/>
    <w:pPr>
      <w:spacing w:before="60" w:after="60"/>
      <w:ind w:left="567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8867EF"/>
    <w:pPr>
      <w:spacing w:before="2800" w:after="120"/>
      <w:jc w:val="center"/>
    </w:pPr>
    <w:rPr>
      <w:rFonts w:ascii="Verdana" w:hAnsi="Verdana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rsid w:val="008867EF"/>
    <w:pPr>
      <w:spacing w:before="4800" w:after="120"/>
      <w:jc w:val="center"/>
    </w:pPr>
    <w:rPr>
      <w:rFonts w:ascii="Verdana" w:hAnsi="Verdana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rsid w:val="008867EF"/>
    <w:pPr>
      <w:spacing w:before="6800" w:after="120"/>
      <w:jc w:val="center"/>
    </w:pPr>
    <w:rPr>
      <w:rFonts w:ascii="Verdana" w:hAnsi="Verdana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747747"/>
    <w:rPr>
      <w:rFonts w:ascii="Verdana" w:hAnsi="Verdana"/>
    </w:rPr>
    <w:tblPr>
      <w:tblInd w:w="108" w:type="dxa"/>
      <w:tblBorders>
        <w:top w:val="single" w:sz="4" w:space="0" w:color="405E64"/>
        <w:left w:val="single" w:sz="4" w:space="0" w:color="405E64"/>
        <w:bottom w:val="single" w:sz="4" w:space="0" w:color="405E64"/>
        <w:right w:val="single" w:sz="4" w:space="0" w:color="405E64"/>
        <w:insideH w:val="single" w:sz="4" w:space="0" w:color="405E64"/>
        <w:insideV w:val="single" w:sz="4" w:space="0" w:color="405E64"/>
      </w:tblBorders>
    </w:tblPr>
    <w:tblStylePr w:type="firstRow">
      <w:tblPr/>
      <w:tcPr>
        <w:tcBorders>
          <w:top w:val="single" w:sz="4" w:space="0" w:color="405E64"/>
          <w:left w:val="single" w:sz="4" w:space="0" w:color="405E64"/>
          <w:bottom w:val="single" w:sz="4" w:space="0" w:color="405E64"/>
          <w:right w:val="single" w:sz="4" w:space="0" w:color="405E64"/>
          <w:insideH w:val="single" w:sz="4" w:space="0" w:color="405E64"/>
          <w:insideV w:val="single" w:sz="4" w:space="0" w:color="405E64"/>
          <w:tl2br w:val="nil"/>
          <w:tr2bl w:val="nil"/>
        </w:tcBorders>
        <w:shd w:val="clear" w:color="auto" w:fill="DBE3E6"/>
      </w:tcPr>
    </w:tblStylePr>
  </w:style>
  <w:style w:type="table" w:customStyle="1" w:styleId="Table4">
    <w:name w:val="Table 4"/>
    <w:basedOn w:val="TableNormal"/>
    <w:rsid w:val="00C823A0"/>
    <w:rPr>
      <w:rFonts w:ascii="Verdana" w:hAnsi="Verdana"/>
    </w:rPr>
    <w:tblPr>
      <w:tblInd w:w="108" w:type="dxa"/>
      <w:tblBorders>
        <w:top w:val="single" w:sz="4" w:space="0" w:color="828172"/>
        <w:left w:val="single" w:sz="4" w:space="0" w:color="828172"/>
        <w:bottom w:val="single" w:sz="4" w:space="0" w:color="828172"/>
        <w:right w:val="single" w:sz="4" w:space="0" w:color="828172"/>
        <w:insideH w:val="single" w:sz="4" w:space="0" w:color="828172"/>
        <w:insideV w:val="single" w:sz="4" w:space="0" w:color="828172"/>
      </w:tblBorders>
    </w:tblPr>
    <w:tblStylePr w:type="firstRow">
      <w:rPr>
        <w:color w:val="FFFFFF"/>
      </w:rPr>
      <w:tblPr/>
      <w:tcPr>
        <w:tcBorders>
          <w:top w:val="single" w:sz="4" w:space="0" w:color="828172"/>
          <w:left w:val="single" w:sz="4" w:space="0" w:color="828172"/>
          <w:bottom w:val="single" w:sz="4" w:space="0" w:color="828172"/>
          <w:right w:val="single" w:sz="4" w:space="0" w:color="828172"/>
          <w:insideH w:val="single" w:sz="4" w:space="0" w:color="828172"/>
          <w:insideV w:val="single" w:sz="4" w:space="0" w:color="828172"/>
          <w:tl2br w:val="nil"/>
          <w:tr2bl w:val="nil"/>
        </w:tcBorders>
        <w:shd w:val="clear" w:color="auto" w:fill="405E64"/>
      </w:tcPr>
    </w:tblStylePr>
    <w:tblStylePr w:type="firstCol">
      <w:rPr>
        <w:color w:val="FFFFFF"/>
      </w:rPr>
      <w:tblPr/>
      <w:tcPr>
        <w:tcBorders>
          <w:top w:val="single" w:sz="4" w:space="0" w:color="DBE3E6"/>
          <w:left w:val="single" w:sz="4" w:space="0" w:color="DBE3E6"/>
          <w:bottom w:val="single" w:sz="4" w:space="0" w:color="DBE3E6"/>
          <w:right w:val="single" w:sz="4" w:space="0" w:color="DBE3E6"/>
          <w:insideH w:val="nil"/>
          <w:insideV w:val="nil"/>
          <w:tl2br w:val="nil"/>
          <w:tr2bl w:val="nil"/>
        </w:tcBorders>
        <w:shd w:val="clear" w:color="auto" w:fill="405E64"/>
      </w:tcPr>
    </w:tblStylePr>
  </w:style>
  <w:style w:type="table" w:customStyle="1" w:styleId="Table3">
    <w:name w:val="Table 3"/>
    <w:basedOn w:val="TableNormal"/>
    <w:rsid w:val="00145959"/>
    <w:rPr>
      <w:rFonts w:ascii="Verdana" w:hAnsi="Verdana"/>
    </w:rPr>
    <w:tblPr>
      <w:tblInd w:w="108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3E6"/>
    </w:tcPr>
    <w:tblStylePr w:type="firstRow">
      <w:rPr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  <w:tl2br w:val="nil"/>
          <w:tr2bl w:val="nil"/>
        </w:tcBorders>
        <w:shd w:val="clear" w:color="auto" w:fill="405E64"/>
      </w:tcPr>
    </w:tblStylePr>
  </w:style>
  <w:style w:type="paragraph" w:customStyle="1" w:styleId="HeaderOdd">
    <w:name w:val="Header Odd"/>
    <w:basedOn w:val="Header"/>
    <w:rsid w:val="00731BE6"/>
    <w:pPr>
      <w:jc w:val="left"/>
    </w:pPr>
  </w:style>
  <w:style w:type="paragraph" w:customStyle="1" w:styleId="IconRight">
    <w:name w:val="IconRight"/>
    <w:basedOn w:val="Normal"/>
    <w:rsid w:val="00E37DA2"/>
    <w:pPr>
      <w:framePr w:w="1429" w:h="907" w:hSpace="2268" w:wrap="around" w:vAnchor="page" w:hAnchor="page" w:xAlign="outside" w:y="313"/>
      <w:jc w:val="right"/>
    </w:pPr>
  </w:style>
  <w:style w:type="numbering" w:customStyle="1" w:styleId="Listfeature">
    <w:name w:val="List feature"/>
    <w:basedOn w:val="NoList"/>
    <w:semiHidden/>
    <w:rsid w:val="00662D9D"/>
    <w:pPr>
      <w:numPr>
        <w:numId w:val="8"/>
      </w:numPr>
    </w:pPr>
  </w:style>
  <w:style w:type="numbering" w:customStyle="1" w:styleId="Listtable">
    <w:name w:val="List table"/>
    <w:basedOn w:val="NoList"/>
    <w:semiHidden/>
    <w:rsid w:val="00E0515F"/>
    <w:pPr>
      <w:numPr>
        <w:numId w:val="11"/>
      </w:numPr>
    </w:pPr>
  </w:style>
  <w:style w:type="table" w:customStyle="1" w:styleId="Table2">
    <w:name w:val="Table 2"/>
    <w:basedOn w:val="TableNormal"/>
    <w:rsid w:val="00702D66"/>
    <w:rPr>
      <w:rFonts w:ascii="Verdana" w:hAnsi="Verdana"/>
    </w:rPr>
    <w:tblPr>
      <w:tblInd w:w="108" w:type="dxa"/>
      <w:tblBorders>
        <w:top w:val="single" w:sz="4" w:space="0" w:color="405E64"/>
        <w:left w:val="single" w:sz="4" w:space="0" w:color="405E64"/>
        <w:bottom w:val="single" w:sz="4" w:space="0" w:color="405E64"/>
        <w:right w:val="single" w:sz="4" w:space="0" w:color="405E64"/>
        <w:insideH w:val="single" w:sz="4" w:space="0" w:color="405E64"/>
        <w:insideV w:val="single" w:sz="4" w:space="0" w:color="405E64"/>
      </w:tblBorders>
    </w:tblPr>
  </w:style>
  <w:style w:type="paragraph" w:styleId="TOC2">
    <w:name w:val="toc 2"/>
    <w:next w:val="TOC3"/>
    <w:uiPriority w:val="39"/>
    <w:rsid w:val="00E94D68"/>
    <w:pPr>
      <w:tabs>
        <w:tab w:val="right" w:pos="8789"/>
      </w:tabs>
      <w:spacing w:before="60" w:after="60" w:line="260" w:lineRule="atLeast"/>
      <w:ind w:left="425" w:right="284"/>
    </w:pPr>
    <w:rPr>
      <w:rFonts w:ascii="Verdana" w:hAnsi="Verdana"/>
      <w:noProof/>
      <w:sz w:val="22"/>
      <w:lang w:eastAsia="en-US"/>
    </w:rPr>
  </w:style>
  <w:style w:type="paragraph" w:styleId="TOC3">
    <w:name w:val="toc 3"/>
    <w:next w:val="Normal"/>
    <w:uiPriority w:val="39"/>
    <w:rsid w:val="00E94D68"/>
    <w:pPr>
      <w:tabs>
        <w:tab w:val="right" w:pos="8789"/>
      </w:tabs>
      <w:spacing w:before="60" w:after="60" w:line="280" w:lineRule="atLeast"/>
      <w:ind w:left="709" w:right="284"/>
    </w:pPr>
    <w:rPr>
      <w:rFonts w:ascii="Verdana" w:hAnsi="Verdana"/>
      <w:noProof/>
      <w:sz w:val="22"/>
      <w:lang w:eastAsia="en-US"/>
    </w:rPr>
  </w:style>
  <w:style w:type="paragraph" w:customStyle="1" w:styleId="Contents">
    <w:name w:val="Contents"/>
    <w:next w:val="TOC1"/>
    <w:qFormat/>
    <w:rsid w:val="00E94D68"/>
    <w:pPr>
      <w:pBdr>
        <w:bottom w:val="single" w:sz="12" w:space="1" w:color="405E64"/>
      </w:pBdr>
      <w:shd w:val="clear" w:color="auto" w:fill="405E64"/>
      <w:spacing w:after="240" w:line="420" w:lineRule="atLeast"/>
      <w:ind w:left="28" w:right="284"/>
      <w:outlineLvl w:val="0"/>
    </w:pPr>
    <w:rPr>
      <w:rFonts w:ascii="Verdana" w:hAnsi="Verdana" w:cs="Trebuchet MS"/>
      <w:b/>
      <w:bCs/>
      <w:color w:val="FFFFFF"/>
      <w:sz w:val="32"/>
      <w:szCs w:val="32"/>
      <w:lang w:eastAsia="en-US"/>
    </w:rPr>
  </w:style>
  <w:style w:type="paragraph" w:customStyle="1" w:styleId="Footereven">
    <w:name w:val="Footer even"/>
    <w:basedOn w:val="Footer"/>
    <w:rsid w:val="00FF3F3D"/>
    <w:pPr>
      <w:jc w:val="right"/>
    </w:pPr>
  </w:style>
  <w:style w:type="paragraph" w:customStyle="1" w:styleId="Chapternumber">
    <w:name w:val="Chapter number"/>
    <w:basedOn w:val="Unithead"/>
    <w:qFormat/>
    <w:rsid w:val="00C30CCD"/>
    <w:rPr>
      <w:b w:val="0"/>
    </w:rPr>
  </w:style>
  <w:style w:type="paragraph" w:customStyle="1" w:styleId="Alphalist">
    <w:name w:val="Alpha list"/>
    <w:qFormat/>
    <w:rsid w:val="00F95DBC"/>
    <w:pPr>
      <w:numPr>
        <w:numId w:val="2"/>
      </w:numPr>
      <w:tabs>
        <w:tab w:val="clear" w:pos="794"/>
        <w:tab w:val="left" w:pos="1361"/>
      </w:tabs>
      <w:spacing w:before="80" w:after="60" w:line="240" w:lineRule="atLeast"/>
      <w:ind w:left="1361"/>
    </w:pPr>
    <w:rPr>
      <w:rFonts w:ascii="Verdana" w:hAnsi="Verdana"/>
      <w:szCs w:val="24"/>
    </w:rPr>
  </w:style>
  <w:style w:type="numbering" w:customStyle="1" w:styleId="Listalpha">
    <w:name w:val="List alpha"/>
    <w:basedOn w:val="NoList"/>
    <w:semiHidden/>
    <w:rsid w:val="00662D9D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662D9D"/>
    <w:pPr>
      <w:numPr>
        <w:numId w:val="3"/>
      </w:numPr>
    </w:pPr>
  </w:style>
  <w:style w:type="paragraph" w:customStyle="1" w:styleId="Icon">
    <w:name w:val="Icon"/>
    <w:rsid w:val="00A44494"/>
    <w:pPr>
      <w:framePr w:w="1429" w:h="907" w:hSpace="2268" w:wrap="around" w:vAnchor="page" w:hAnchor="page" w:xAlign="outside" w:y="313"/>
    </w:pPr>
    <w:rPr>
      <w:sz w:val="24"/>
      <w:szCs w:val="24"/>
      <w:lang w:eastAsia="en-US"/>
    </w:rPr>
  </w:style>
  <w:style w:type="paragraph" w:customStyle="1" w:styleId="Sourcetext">
    <w:name w:val="Source text"/>
    <w:basedOn w:val="Normal"/>
    <w:qFormat/>
    <w:rsid w:val="00A30534"/>
    <w:pPr>
      <w:autoSpaceDE w:val="0"/>
      <w:autoSpaceDN w:val="0"/>
      <w:adjustRightInd w:val="0"/>
      <w:spacing w:before="120" w:after="120"/>
    </w:pPr>
    <w:rPr>
      <w:rFonts w:ascii="Verdana" w:hAnsi="Verdana" w:cs="MyriadPro-Regular"/>
      <w:i/>
      <w:sz w:val="20"/>
      <w:szCs w:val="20"/>
      <w:lang w:eastAsia="en-GB"/>
    </w:rPr>
  </w:style>
  <w:style w:type="paragraph" w:customStyle="1" w:styleId="tabletexthd">
    <w:name w:val="table text hd"/>
    <w:rsid w:val="0010147D"/>
    <w:pPr>
      <w:spacing w:before="120" w:after="60" w:line="260" w:lineRule="atLeast"/>
    </w:pPr>
    <w:rPr>
      <w:rFonts w:ascii="Verdana" w:hAnsi="Verdana"/>
      <w:b/>
      <w:color w:val="FFFFFF"/>
      <w:szCs w:val="22"/>
      <w:lang w:eastAsia="en-US"/>
    </w:rPr>
  </w:style>
  <w:style w:type="character" w:customStyle="1" w:styleId="textbulletsChar">
    <w:name w:val="text bullets Char"/>
    <w:link w:val="textbullets"/>
    <w:rsid w:val="0010147D"/>
    <w:rPr>
      <w:rFonts w:ascii="Verdana" w:hAnsi="Verdana"/>
      <w:szCs w:val="24"/>
      <w:lang w:val="en-GB" w:bidi="ar-SA"/>
    </w:rPr>
  </w:style>
  <w:style w:type="paragraph" w:customStyle="1" w:styleId="text-bold">
    <w:name w:val="text-bold"/>
    <w:basedOn w:val="text"/>
    <w:next w:val="text"/>
    <w:rsid w:val="0010147D"/>
    <w:pPr>
      <w:spacing w:before="60" w:line="260" w:lineRule="exact"/>
      <w:ind w:left="0"/>
    </w:pPr>
    <w:rPr>
      <w:rFonts w:cs="Times New Roman"/>
      <w:b/>
      <w:color w:val="000000"/>
      <w:sz w:val="18"/>
      <w:szCs w:val="20"/>
    </w:rPr>
  </w:style>
  <w:style w:type="paragraph" w:styleId="ListNumber">
    <w:name w:val="List Number"/>
    <w:basedOn w:val="Normal"/>
    <w:rsid w:val="0010147D"/>
    <w:pPr>
      <w:tabs>
        <w:tab w:val="num" w:pos="360"/>
      </w:tabs>
      <w:spacing w:line="260" w:lineRule="atLeast"/>
      <w:ind w:left="360" w:hanging="360"/>
    </w:pPr>
    <w:rPr>
      <w:rFonts w:ascii="Verdana" w:hAnsi="Verdana"/>
      <w:sz w:val="18"/>
      <w:szCs w:val="20"/>
    </w:rPr>
  </w:style>
  <w:style w:type="paragraph" w:customStyle="1" w:styleId="Pa8">
    <w:name w:val="Pa8"/>
    <w:basedOn w:val="Normal"/>
    <w:next w:val="Normal"/>
    <w:uiPriority w:val="99"/>
    <w:rsid w:val="00377CAC"/>
    <w:pPr>
      <w:autoSpaceDE w:val="0"/>
      <w:autoSpaceDN w:val="0"/>
      <w:adjustRightInd w:val="0"/>
      <w:spacing w:line="201" w:lineRule="atLeast"/>
    </w:pPr>
    <w:rPr>
      <w:rFonts w:ascii="Myriad Pro Light" w:eastAsia="Calibri" w:hAnsi="Myriad Pro Light"/>
    </w:rPr>
  </w:style>
  <w:style w:type="character" w:styleId="CommentReference">
    <w:name w:val="annotation reference"/>
    <w:uiPriority w:val="99"/>
    <w:rsid w:val="003E69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E693A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3E693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E69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E693A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3E693A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3E693A"/>
    <w:rPr>
      <w:rFonts w:ascii="Tahoma" w:hAnsi="Tahoma" w:cs="Tahoma"/>
      <w:sz w:val="16"/>
      <w:szCs w:val="16"/>
      <w:lang w:eastAsia="en-US"/>
    </w:rPr>
  </w:style>
  <w:style w:type="paragraph" w:customStyle="1" w:styleId="Text0">
    <w:name w:val="Text"/>
    <w:basedOn w:val="Normal"/>
    <w:link w:val="TextChar"/>
    <w:rsid w:val="003F4E77"/>
    <w:pPr>
      <w:spacing w:before="40" w:after="40" w:line="200" w:lineRule="atLeast"/>
    </w:pPr>
    <w:rPr>
      <w:rFonts w:ascii="Trebuchet MS" w:eastAsia="Calibri" w:hAnsi="Trebuchet MS"/>
      <w:sz w:val="16"/>
      <w:szCs w:val="16"/>
      <w:lang w:val="x-none"/>
    </w:rPr>
  </w:style>
  <w:style w:type="character" w:customStyle="1" w:styleId="TextChar">
    <w:name w:val="Text Char"/>
    <w:link w:val="Text0"/>
    <w:locked/>
    <w:rsid w:val="003F4E77"/>
    <w:rPr>
      <w:rFonts w:ascii="Trebuchet MS" w:eastAsia="Calibri" w:hAnsi="Trebuchet MS" w:cs="Trebuchet MS"/>
      <w:sz w:val="16"/>
      <w:szCs w:val="16"/>
      <w:lang w:eastAsia="en-US"/>
    </w:rPr>
  </w:style>
  <w:style w:type="character" w:customStyle="1" w:styleId="FooterChar">
    <w:name w:val="Footer Char"/>
    <w:link w:val="Footer"/>
    <w:uiPriority w:val="99"/>
    <w:locked/>
    <w:rsid w:val="003F4E77"/>
    <w:rPr>
      <w:rFonts w:ascii="Verdana" w:hAnsi="Verdana"/>
      <w:sz w:val="14"/>
      <w:szCs w:val="24"/>
      <w:lang w:val="en-GB" w:eastAsia="en-US" w:bidi="ar-SA"/>
    </w:rPr>
  </w:style>
  <w:style w:type="paragraph" w:customStyle="1" w:styleId="guideheadB">
    <w:name w:val="guide head B"/>
    <w:next w:val="Text0"/>
    <w:rsid w:val="008567DD"/>
    <w:pPr>
      <w:pBdr>
        <w:top w:val="single" w:sz="12" w:space="3" w:color="AACAE6"/>
        <w:bottom w:val="single" w:sz="12" w:space="3" w:color="AACAE6"/>
      </w:pBdr>
      <w:spacing w:before="300" w:after="120" w:line="300" w:lineRule="atLeast"/>
    </w:pPr>
    <w:rPr>
      <w:rFonts w:ascii="Verdana" w:hAnsi="Verdana"/>
      <w:b/>
      <w:sz w:val="32"/>
      <w:szCs w:val="24"/>
      <w:lang w:eastAsia="en-US"/>
    </w:rPr>
  </w:style>
  <w:style w:type="paragraph" w:customStyle="1" w:styleId="textindented">
    <w:name w:val="text indented"/>
    <w:next w:val="Normal"/>
    <w:uiPriority w:val="99"/>
    <w:rsid w:val="008567DD"/>
    <w:pPr>
      <w:spacing w:before="60" w:after="60" w:line="260" w:lineRule="atLeast"/>
      <w:ind w:left="357" w:hanging="357"/>
    </w:pPr>
    <w:rPr>
      <w:rFonts w:ascii="Verdana" w:hAnsi="Verdana"/>
      <w:color w:val="000000"/>
      <w:szCs w:val="22"/>
    </w:rPr>
  </w:style>
  <w:style w:type="character" w:customStyle="1" w:styleId="apple-converted-space">
    <w:name w:val="apple-converted-space"/>
    <w:basedOn w:val="DefaultParagraphFont"/>
    <w:rsid w:val="002E26C7"/>
  </w:style>
  <w:style w:type="character" w:customStyle="1" w:styleId="HeaderChar">
    <w:name w:val="Header Char"/>
    <w:link w:val="Header"/>
    <w:rsid w:val="00E61753"/>
    <w:rPr>
      <w:rFonts w:ascii="Verdana" w:hAnsi="Verdana"/>
      <w:b/>
      <w:color w:val="405E64"/>
      <w:sz w:val="19"/>
      <w:szCs w:val="24"/>
      <w:lang w:val="en-GB" w:eastAsia="en-US" w:bidi="ar-SA"/>
    </w:rPr>
  </w:style>
  <w:style w:type="paragraph" w:customStyle="1" w:styleId="Bodytext">
    <w:name w:val="Body text"/>
    <w:qFormat/>
    <w:rsid w:val="00E61753"/>
    <w:p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Front1">
    <w:name w:val="Front1"/>
    <w:qFormat/>
    <w:rsid w:val="00E61753"/>
    <w:pPr>
      <w:spacing w:before="5280" w:after="120"/>
      <w:ind w:left="-284" w:right="-284"/>
    </w:pPr>
    <w:rPr>
      <w:rFonts w:ascii="Verdana Bold" w:hAnsi="Verdana Bold"/>
      <w:b/>
      <w:color w:val="002656"/>
      <w:sz w:val="36"/>
      <w:szCs w:val="48"/>
    </w:rPr>
  </w:style>
  <w:style w:type="paragraph" w:customStyle="1" w:styleId="Front0">
    <w:name w:val="Front0"/>
    <w:basedOn w:val="Normal"/>
    <w:qFormat/>
    <w:rsid w:val="00E61753"/>
    <w:pPr>
      <w:spacing w:after="120"/>
      <w:ind w:left="7201" w:right="-284"/>
    </w:pPr>
    <w:rPr>
      <w:rFonts w:ascii="Verdana" w:hAnsi="Verdana"/>
      <w:b/>
      <w:color w:val="002656"/>
      <w:sz w:val="76"/>
      <w:szCs w:val="76"/>
      <w:lang w:eastAsia="en-GB"/>
    </w:rPr>
  </w:style>
  <w:style w:type="paragraph" w:customStyle="1" w:styleId="Front2">
    <w:name w:val="Front2"/>
    <w:next w:val="Normal"/>
    <w:qFormat/>
    <w:rsid w:val="00E61753"/>
    <w:pPr>
      <w:pBdr>
        <w:top w:val="single" w:sz="4" w:space="5" w:color="102D51"/>
        <w:bottom w:val="single" w:sz="4" w:space="5" w:color="102D51"/>
      </w:pBdr>
      <w:spacing w:before="120" w:after="60" w:line="280" w:lineRule="exact"/>
      <w:ind w:left="-284" w:right="-284"/>
    </w:pPr>
    <w:rPr>
      <w:rFonts w:ascii="Verdana" w:hAnsi="Verdana"/>
      <w:b/>
      <w:color w:val="002656"/>
      <w:sz w:val="28"/>
      <w:szCs w:val="50"/>
    </w:rPr>
  </w:style>
  <w:style w:type="character" w:styleId="Hyperlink">
    <w:name w:val="Hyperlink"/>
    <w:rsid w:val="0036219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7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qualifications.pearson.com/content/dam/pdf/GCSE/History/2016/Teaching-and-learning-materials/gcse-history-changes-for-2025-and-2026-summary-guidance.pdf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E6A856-B72A-4511-862C-C481F962398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741</Words>
  <Characters>4227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GCSE Getting Started</vt:lpstr>
      <vt:lpstr>GCSE Getting Started</vt:lpstr>
    </vt:vector>
  </TitlesOfParts>
  <Company>Pearson Education</Company>
  <LinksUpToDate>false</LinksUpToDate>
  <CharactersWithSpaces>4959</CharactersWithSpaces>
  <SharedDoc>false</SharedDoc>
  <HLinks>
    <vt:vector size="6" baseType="variant">
      <vt:variant>
        <vt:i4>1376340</vt:i4>
      </vt:variant>
      <vt:variant>
        <vt:i4>0</vt:i4>
      </vt:variant>
      <vt:variant>
        <vt:i4>0</vt:i4>
      </vt:variant>
      <vt:variant>
        <vt:i4>5</vt:i4>
      </vt:variant>
      <vt:variant>
        <vt:lpwstr>https://qualifications.pearson.com/content/dam/pdf/GCSE/History/2016/Teaching-and-learning-materials/gcse-history-changes-for-2025-and-2026-summary-guidance.pdf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Getting Started</dc:title>
  <dc:subject/>
  <dc:creator>regan_c</dc:creator>
  <cp:keywords/>
  <cp:lastModifiedBy>Mark Anstee</cp:lastModifiedBy>
  <cp:revision>3</cp:revision>
  <cp:lastPrinted>2014-03-24T13:35:00Z</cp:lastPrinted>
  <dcterms:created xsi:type="dcterms:W3CDTF">2024-12-17T16:54:00Z</dcterms:created>
  <dcterms:modified xsi:type="dcterms:W3CDTF">2024-12-17T17:13:00Z</dcterms:modified>
</cp:coreProperties>
</file>