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E0BDA" w14:textId="77777777" w:rsidR="00065884" w:rsidRPr="00671700" w:rsidRDefault="00065884" w:rsidP="00065884">
      <w:pPr>
        <w:pStyle w:val="Front0"/>
      </w:pPr>
      <w:r>
        <w:t>Option 1</w:t>
      </w:r>
      <w:r w:rsidR="003113A6">
        <w:t>3</w:t>
      </w:r>
      <w:r>
        <w:t xml:space="preserve"> scheme of work</w:t>
      </w:r>
    </w:p>
    <w:p w14:paraId="3FB99FFC" w14:textId="77777777" w:rsidR="00065884" w:rsidRPr="00486F63" w:rsidRDefault="003113A6" w:rsidP="00973B94">
      <w:pPr>
        <w:pStyle w:val="Front1"/>
        <w:tabs>
          <w:tab w:val="right" w:pos="14175"/>
        </w:tabs>
        <w:spacing w:before="6000" w:line="264" w:lineRule="auto"/>
      </w:pPr>
      <w:r>
        <w:rPr>
          <w:sz w:val="28"/>
          <w:szCs w:val="28"/>
        </w:rPr>
        <w:t>Migrants</w:t>
      </w:r>
      <w:r w:rsidR="00065884">
        <w:rPr>
          <w:sz w:val="28"/>
          <w:szCs w:val="28"/>
        </w:rPr>
        <w:t xml:space="preserve"> </w:t>
      </w:r>
      <w:r w:rsidR="00065884" w:rsidRPr="002B6CD1">
        <w:rPr>
          <w:sz w:val="28"/>
          <w:szCs w:val="28"/>
        </w:rPr>
        <w:t>in Britain, c</w:t>
      </w:r>
      <w:r>
        <w:rPr>
          <w:sz w:val="28"/>
          <w:szCs w:val="28"/>
        </w:rPr>
        <w:t>80</w:t>
      </w:r>
      <w:r w:rsidR="00065884" w:rsidRPr="002B6CD1">
        <w:rPr>
          <w:sz w:val="28"/>
          <w:szCs w:val="28"/>
        </w:rPr>
        <w:t xml:space="preserve">0–present </w:t>
      </w:r>
      <w:r w:rsidR="00065884">
        <w:rPr>
          <w:sz w:val="28"/>
          <w:szCs w:val="28"/>
        </w:rPr>
        <w:br/>
      </w:r>
      <w:r w:rsidR="00065884" w:rsidRPr="002B6CD1">
        <w:rPr>
          <w:i/>
          <w:sz w:val="28"/>
          <w:szCs w:val="28"/>
        </w:rPr>
        <w:t>and</w:t>
      </w:r>
      <w:r w:rsidR="00065884" w:rsidRPr="002B6CD1">
        <w:rPr>
          <w:sz w:val="28"/>
          <w:szCs w:val="28"/>
        </w:rPr>
        <w:t xml:space="preserve"> </w:t>
      </w:r>
      <w:r>
        <w:rPr>
          <w:sz w:val="28"/>
          <w:szCs w:val="28"/>
        </w:rPr>
        <w:t>Notting Hill</w:t>
      </w:r>
      <w:r w:rsidR="00065884" w:rsidRPr="00065884">
        <w:rPr>
          <w:sz w:val="28"/>
          <w:szCs w:val="28"/>
        </w:rPr>
        <w:t xml:space="preserve">, </w:t>
      </w:r>
      <w:r>
        <w:rPr>
          <w:sz w:val="28"/>
          <w:szCs w:val="28"/>
        </w:rPr>
        <w:t>c</w:t>
      </w:r>
      <w:r w:rsidR="00065884" w:rsidRPr="00065884">
        <w:rPr>
          <w:sz w:val="28"/>
          <w:szCs w:val="28"/>
        </w:rPr>
        <w:t>194</w:t>
      </w:r>
      <w:r>
        <w:rPr>
          <w:sz w:val="28"/>
          <w:szCs w:val="28"/>
        </w:rPr>
        <w:t>8</w:t>
      </w:r>
      <w:r w:rsidR="00065884" w:rsidRPr="00065884">
        <w:rPr>
          <w:sz w:val="28"/>
          <w:szCs w:val="28"/>
        </w:rPr>
        <w:t>–</w:t>
      </w:r>
      <w:r>
        <w:rPr>
          <w:sz w:val="28"/>
          <w:szCs w:val="28"/>
        </w:rPr>
        <w:t>c1970</w:t>
      </w:r>
      <w:r w:rsidR="00065884">
        <w:br/>
      </w:r>
      <w:r w:rsidR="00065884" w:rsidRPr="00D61977">
        <w:rPr>
          <w:sz w:val="28"/>
          <w:szCs w:val="28"/>
        </w:rPr>
        <w:t>GCSE (9</w:t>
      </w:r>
      <w:r w:rsidR="000334CD">
        <w:rPr>
          <w:sz w:val="28"/>
          <w:szCs w:val="28"/>
        </w:rPr>
        <w:t>–</w:t>
      </w:r>
      <w:r w:rsidR="00065884" w:rsidRPr="00D61977">
        <w:rPr>
          <w:sz w:val="28"/>
          <w:szCs w:val="28"/>
        </w:rPr>
        <w:t>1) History</w:t>
      </w:r>
      <w:r w:rsidR="00973B94">
        <w:rPr>
          <w:sz w:val="28"/>
          <w:szCs w:val="28"/>
        </w:rPr>
        <w:t xml:space="preserve"> </w:t>
      </w:r>
      <w:r w:rsidR="00973B94">
        <w:rPr>
          <w:sz w:val="28"/>
          <w:szCs w:val="28"/>
        </w:rPr>
        <w:tab/>
        <w:t>(v2 2024)</w:t>
      </w:r>
    </w:p>
    <w:p w14:paraId="4F3B4EB4" w14:textId="77777777" w:rsidR="00065884" w:rsidRPr="00D61977" w:rsidRDefault="00065884" w:rsidP="00065884">
      <w:pPr>
        <w:pStyle w:val="Front2"/>
        <w:rPr>
          <w:sz w:val="24"/>
          <w:szCs w:val="24"/>
        </w:rPr>
      </w:pPr>
      <w:r w:rsidRPr="00D61977">
        <w:rPr>
          <w:sz w:val="24"/>
          <w:szCs w:val="24"/>
        </w:rPr>
        <w:t>Pearson Edexcel Level 1/Level 2 GCSE (9</w:t>
      </w:r>
      <w:r w:rsidR="000334CD">
        <w:rPr>
          <w:sz w:val="24"/>
          <w:szCs w:val="24"/>
        </w:rPr>
        <w:t>–</w:t>
      </w:r>
      <w:r w:rsidRPr="00D61977">
        <w:rPr>
          <w:sz w:val="24"/>
          <w:szCs w:val="24"/>
        </w:rPr>
        <w:t>1) in History (1HI0)</w:t>
      </w:r>
    </w:p>
    <w:p w14:paraId="31472629" w14:textId="77777777" w:rsidR="00065884" w:rsidRDefault="00065884" w:rsidP="00065884">
      <w:pPr>
        <w:pStyle w:val="Bodytext"/>
        <w:rPr>
          <w:lang w:eastAsia="en-GB"/>
        </w:rPr>
        <w:sectPr w:rsidR="00065884" w:rsidSect="00D83886">
          <w:headerReference w:type="default" r:id="rId8"/>
          <w:footerReference w:type="default" r:id="rId9"/>
          <w:headerReference w:type="first" r:id="rId10"/>
          <w:footerReference w:type="first" r:id="rId11"/>
          <w:pgSz w:w="16840" w:h="11900" w:orient="landscape" w:code="9"/>
          <w:pgMar w:top="1134" w:right="1134" w:bottom="1134" w:left="1134" w:header="567" w:footer="425" w:gutter="0"/>
          <w:cols w:space="708"/>
        </w:sectPr>
      </w:pPr>
    </w:p>
    <w:p w14:paraId="118FB369" w14:textId="77777777" w:rsidR="00065884" w:rsidRDefault="00065884" w:rsidP="00065884">
      <w:pPr>
        <w:pStyle w:val="Ahead"/>
      </w:pPr>
      <w:r>
        <w:lastRenderedPageBreak/>
        <w:t xml:space="preserve">Introduction </w:t>
      </w:r>
    </w:p>
    <w:p w14:paraId="50E285AE" w14:textId="77777777" w:rsidR="00973B94" w:rsidRDefault="00973B94" w:rsidP="00973B94">
      <w:pPr>
        <w:pStyle w:val="text"/>
      </w:pPr>
      <w:bookmarkStart w:id="0" w:name="_Hlk181192686"/>
      <w:r w:rsidRPr="00A154DD">
        <w:t xml:space="preserve">This scheme of work has been updated to </w:t>
      </w:r>
      <w:r>
        <w:t>match Issue 6 of the</w:t>
      </w:r>
      <w:r w:rsidRPr="00A154DD">
        <w:t xml:space="preserve"> specification. Summary guidance on the changes can be found </w:t>
      </w:r>
      <w:hyperlink r:id="rId12" w:history="1">
        <w:r w:rsidRPr="00A154DD">
          <w:rPr>
            <w:rStyle w:val="Hyperlink"/>
          </w:rPr>
          <w:t>here</w:t>
        </w:r>
      </w:hyperlink>
      <w:r w:rsidRPr="00A154DD">
        <w:t>.</w:t>
      </w:r>
    </w:p>
    <w:p w14:paraId="1D2F4971" w14:textId="77777777" w:rsidR="00973B94" w:rsidRDefault="00973B94" w:rsidP="002229E7">
      <w:pPr>
        <w:pStyle w:val="text"/>
      </w:pPr>
    </w:p>
    <w:bookmarkEnd w:id="0"/>
    <w:p w14:paraId="3A2136BD" w14:textId="77777777" w:rsidR="002229E7" w:rsidRPr="00237473" w:rsidRDefault="002229E7" w:rsidP="002229E7">
      <w:pPr>
        <w:pStyle w:val="text"/>
      </w:pPr>
      <w:r w:rsidRPr="00237473">
        <w:t xml:space="preserve">This document provides a sample scheme of work for </w:t>
      </w:r>
      <w:r w:rsidR="00F91692">
        <w:t xml:space="preserve">both the </w:t>
      </w:r>
      <w:r w:rsidR="007E77BE">
        <w:t>Thematic</w:t>
      </w:r>
      <w:r w:rsidR="00F91692">
        <w:t xml:space="preserve"> study </w:t>
      </w:r>
      <w:r w:rsidR="003113A6">
        <w:rPr>
          <w:b/>
        </w:rPr>
        <w:t>Migrants</w:t>
      </w:r>
      <w:r w:rsidR="00F91692">
        <w:rPr>
          <w:b/>
        </w:rPr>
        <w:t xml:space="preserve"> in Britain, c</w:t>
      </w:r>
      <w:r w:rsidR="003113A6">
        <w:rPr>
          <w:b/>
        </w:rPr>
        <w:t>80</w:t>
      </w:r>
      <w:r w:rsidR="00F91692">
        <w:rPr>
          <w:b/>
        </w:rPr>
        <w:t>0</w:t>
      </w:r>
      <w:r w:rsidR="007E77BE">
        <w:rPr>
          <w:b/>
        </w:rPr>
        <w:t>–</w:t>
      </w:r>
      <w:r w:rsidR="00F91692">
        <w:rPr>
          <w:b/>
        </w:rPr>
        <w:t xml:space="preserve">present </w:t>
      </w:r>
      <w:r w:rsidR="00F91692">
        <w:t xml:space="preserve">and the </w:t>
      </w:r>
      <w:r w:rsidR="00C224DB">
        <w:t xml:space="preserve">Historic </w:t>
      </w:r>
      <w:r w:rsidR="00F91692">
        <w:t xml:space="preserve">environment </w:t>
      </w:r>
      <w:r w:rsidR="003113A6">
        <w:rPr>
          <w:b/>
        </w:rPr>
        <w:t>Notting Hill</w:t>
      </w:r>
      <w:r w:rsidR="00F91692" w:rsidRPr="00F91692">
        <w:rPr>
          <w:b/>
          <w:szCs w:val="18"/>
        </w:rPr>
        <w:t xml:space="preserve">, </w:t>
      </w:r>
      <w:r w:rsidR="003113A6">
        <w:rPr>
          <w:b/>
          <w:szCs w:val="18"/>
        </w:rPr>
        <w:t>c</w:t>
      </w:r>
      <w:r w:rsidR="00F91692" w:rsidRPr="00F91692">
        <w:rPr>
          <w:b/>
          <w:szCs w:val="18"/>
        </w:rPr>
        <w:t>19</w:t>
      </w:r>
      <w:r w:rsidR="003113A6">
        <w:rPr>
          <w:b/>
          <w:szCs w:val="18"/>
        </w:rPr>
        <w:t>48</w:t>
      </w:r>
      <w:r w:rsidR="007E77BE">
        <w:rPr>
          <w:b/>
          <w:szCs w:val="18"/>
        </w:rPr>
        <w:t>–</w:t>
      </w:r>
      <w:r w:rsidR="003113A6">
        <w:rPr>
          <w:b/>
          <w:szCs w:val="18"/>
        </w:rPr>
        <w:t>c1970</w:t>
      </w:r>
      <w:r w:rsidR="00F91692">
        <w:rPr>
          <w:szCs w:val="18"/>
        </w:rPr>
        <w:t>.</w:t>
      </w:r>
      <w:r w:rsidR="00760002">
        <w:rPr>
          <w:szCs w:val="18"/>
        </w:rPr>
        <w:t xml:space="preserve"> </w:t>
      </w:r>
      <w:r w:rsidR="00F91692">
        <w:t xml:space="preserve">This is intended </w:t>
      </w:r>
      <w:r w:rsidR="00F91692" w:rsidRPr="00237473">
        <w:t>as an example approach only and is not prescriptive</w:t>
      </w:r>
      <w:r w:rsidR="00F91692">
        <w:t>: it</w:t>
      </w:r>
      <w:r w:rsidRPr="00237473">
        <w:t xml:space="preserve"> should be adapted by </w:t>
      </w:r>
      <w:r w:rsidR="00F91692">
        <w:t xml:space="preserve">schools </w:t>
      </w:r>
      <w:r w:rsidRPr="00237473">
        <w:t xml:space="preserve">to fit their timetabling and staffing arrangements. </w:t>
      </w:r>
    </w:p>
    <w:p w14:paraId="273DBD77" w14:textId="77777777" w:rsidR="006E79E7" w:rsidRDefault="006E79E7" w:rsidP="006E79E7">
      <w:pPr>
        <w:pStyle w:val="text"/>
      </w:pPr>
      <w:r w:rsidRPr="00237473">
        <w:t xml:space="preserve">The scheme assumes </w:t>
      </w:r>
      <w:r>
        <w:t>18</w:t>
      </w:r>
      <w:r w:rsidRPr="00237473">
        <w:t xml:space="preserve"> teaching weeks for Paper </w:t>
      </w:r>
      <w:r>
        <w:t xml:space="preserve">1, with 12 weeks allocated to the Thematic study and 6 weeks to the </w:t>
      </w:r>
      <w:r w:rsidR="00C224DB">
        <w:t xml:space="preserve">Historic </w:t>
      </w:r>
      <w:r>
        <w:t>environment</w:t>
      </w:r>
      <w:r w:rsidRPr="00237473">
        <w:t xml:space="preserve">. </w:t>
      </w:r>
    </w:p>
    <w:p w14:paraId="069A38AE" w14:textId="77777777" w:rsidR="006E79E7" w:rsidRDefault="006E79E7" w:rsidP="006E79E7">
      <w:pPr>
        <w:pStyle w:val="text"/>
      </w:pPr>
      <w:r w:rsidRPr="00316446">
        <w:t xml:space="preserve">The separate </w:t>
      </w:r>
      <w:r w:rsidRPr="00845780">
        <w:rPr>
          <w:b/>
        </w:rPr>
        <w:t>Course planner</w:t>
      </w:r>
      <w:r w:rsidRPr="00316446">
        <w:t xml:space="preserve"> document provides a range of examples of delivery options that can be used for planning alongside this document.</w:t>
      </w:r>
    </w:p>
    <w:p w14:paraId="657D1265" w14:textId="77777777" w:rsidR="006E79E7" w:rsidRPr="00E45736" w:rsidRDefault="006E79E7" w:rsidP="006E79E7">
      <w:pPr>
        <w:pStyle w:val="text"/>
      </w:pPr>
      <w:r>
        <w:t xml:space="preserve">The separate </w:t>
      </w:r>
      <w:r>
        <w:rPr>
          <w:b/>
        </w:rPr>
        <w:t xml:space="preserve">Topic booklet </w:t>
      </w:r>
      <w:r>
        <w:t>for Option 1</w:t>
      </w:r>
      <w:r w:rsidR="003113A6">
        <w:t>3</w:t>
      </w:r>
      <w:r>
        <w:t xml:space="preserve"> includes illustrative exemplification of content and of the role of factors in change.</w:t>
      </w:r>
    </w:p>
    <w:p w14:paraId="0A37ACD3" w14:textId="77777777" w:rsidR="00007504" w:rsidRDefault="00007504" w:rsidP="00007504"/>
    <w:p w14:paraId="14EDBEFF" w14:textId="77777777" w:rsidR="00CE495F" w:rsidRDefault="00CE495F" w:rsidP="00CE495F">
      <w:pPr>
        <w:pStyle w:val="text"/>
      </w:pPr>
      <w:r>
        <w:t>In adapting this scheme of work, teachers might find it useful to consider the following:</w:t>
      </w:r>
    </w:p>
    <w:p w14:paraId="7FC4F3C8" w14:textId="77777777" w:rsidR="00CE495F" w:rsidRDefault="00CE495F" w:rsidP="00CE495F">
      <w:pPr>
        <w:pStyle w:val="textbullets"/>
      </w:pPr>
      <w:r w:rsidRPr="004001B5">
        <w:t>What</w:t>
      </w:r>
      <w:r>
        <w:t>,</w:t>
      </w:r>
      <w:r w:rsidRPr="004001B5">
        <w:t xml:space="preserve"> and how much</w:t>
      </w:r>
      <w:r>
        <w:t>,</w:t>
      </w:r>
      <w:r w:rsidRPr="004001B5">
        <w:t xml:space="preserve"> background and contextual </w:t>
      </w:r>
      <w:r>
        <w:t xml:space="preserve">material </w:t>
      </w:r>
      <w:r w:rsidRPr="004001B5">
        <w:t>needs to be covered as an introduction and overview before starting the main specification content</w:t>
      </w:r>
      <w:r>
        <w:t>.</w:t>
      </w:r>
    </w:p>
    <w:p w14:paraId="41C933DF" w14:textId="77777777" w:rsidR="00E91408" w:rsidRDefault="00E91408" w:rsidP="00E91408">
      <w:pPr>
        <w:pStyle w:val="textbullets"/>
      </w:pPr>
      <w:r>
        <w:t xml:space="preserve">How </w:t>
      </w:r>
      <w:r w:rsidRPr="004001B5">
        <w:t xml:space="preserve">the </w:t>
      </w:r>
      <w:r w:rsidR="00C224DB" w:rsidRPr="004001B5">
        <w:t xml:space="preserve">Historic </w:t>
      </w:r>
      <w:r w:rsidRPr="004001B5">
        <w:t>environment</w:t>
      </w:r>
      <w:r>
        <w:t xml:space="preserve"> is incorporated:</w:t>
      </w:r>
      <w:r w:rsidRPr="004001B5">
        <w:t xml:space="preserve"> </w:t>
      </w:r>
      <w:r>
        <w:t xml:space="preserve">for example, here it is </w:t>
      </w:r>
      <w:r w:rsidRPr="004001B5">
        <w:t xml:space="preserve">taught separately after the main </w:t>
      </w:r>
      <w:r>
        <w:t>Thematic</w:t>
      </w:r>
      <w:r w:rsidRPr="004001B5">
        <w:t xml:space="preserve"> study </w:t>
      </w:r>
      <w:r>
        <w:t xml:space="preserve">content, but centres might consider treating it as an extended case study </w:t>
      </w:r>
      <w:r w:rsidRPr="004001B5">
        <w:t>within the</w:t>
      </w:r>
      <w:r>
        <w:t xml:space="preserve"> Thematic study and then </w:t>
      </w:r>
      <w:r w:rsidRPr="004001B5">
        <w:t>return</w:t>
      </w:r>
      <w:r>
        <w:t>ing</w:t>
      </w:r>
      <w:r w:rsidRPr="004001B5">
        <w:t xml:space="preserve"> to more </w:t>
      </w:r>
      <w:r>
        <w:t xml:space="preserve">it </w:t>
      </w:r>
      <w:r w:rsidRPr="004001B5">
        <w:t>thoroughly</w:t>
      </w:r>
      <w:r>
        <w:t xml:space="preserve"> after the Thematic study teaching. It will need to be clear to students that the assessment of the </w:t>
      </w:r>
      <w:r w:rsidR="00C224DB">
        <w:t xml:space="preserve">Historic </w:t>
      </w:r>
      <w:r>
        <w:t>environment is separate from the Thematic study content.</w:t>
      </w:r>
    </w:p>
    <w:p w14:paraId="5ED7C15C" w14:textId="77777777" w:rsidR="00CE495F" w:rsidRDefault="00CE495F" w:rsidP="00CE495F">
      <w:pPr>
        <w:pStyle w:val="textbullets"/>
      </w:pPr>
      <w:r>
        <w:t xml:space="preserve">How, when studying the </w:t>
      </w:r>
      <w:r w:rsidR="007E77BE">
        <w:t>Thematic</w:t>
      </w:r>
      <w:r>
        <w:t xml:space="preserve"> study content, students develop their </w:t>
      </w:r>
      <w:r w:rsidRPr="0095201C">
        <w:t>understand</w:t>
      </w:r>
      <w:r>
        <w:t>ing</w:t>
      </w:r>
      <w:r w:rsidRPr="0095201C">
        <w:t xml:space="preserve"> </w:t>
      </w:r>
      <w:r>
        <w:t xml:space="preserve">of </w:t>
      </w:r>
      <w:r w:rsidRPr="0095201C">
        <w:t xml:space="preserve">how key features in the development of </w:t>
      </w:r>
      <w:r w:rsidR="00C224DB">
        <w:t>migration</w:t>
      </w:r>
      <w:r w:rsidRPr="0095201C">
        <w:t xml:space="preserve"> </w:t>
      </w:r>
      <w:r>
        <w:t xml:space="preserve">are </w:t>
      </w:r>
      <w:r w:rsidRPr="0095201C">
        <w:t>linked with the key features of</w:t>
      </w:r>
      <w:r>
        <w:t xml:space="preserve"> </w:t>
      </w:r>
      <w:r w:rsidRPr="0095201C">
        <w:t>society</w:t>
      </w:r>
      <w:r>
        <w:t xml:space="preserve"> in Britain in the periods</w:t>
      </w:r>
      <w:r w:rsidRPr="0095201C">
        <w:t xml:space="preserve"> studied</w:t>
      </w:r>
      <w:r>
        <w:t>.</w:t>
      </w:r>
    </w:p>
    <w:p w14:paraId="1621CDFA" w14:textId="77777777" w:rsidR="00007504" w:rsidRDefault="00CE495F" w:rsidP="00CE495F">
      <w:pPr>
        <w:pStyle w:val="textbullets"/>
      </w:pPr>
      <w:r>
        <w:t xml:space="preserve">How students can develop an understanding of the influence of factors in inhibiting or encouraging change within periods and across the theme, and </w:t>
      </w:r>
      <w:r w:rsidRPr="0095201C">
        <w:t>how factors worked</w:t>
      </w:r>
      <w:r>
        <w:t xml:space="preserve"> </w:t>
      </w:r>
      <w:r w:rsidRPr="0095201C">
        <w:t>together to bring particular developments at particular times</w:t>
      </w:r>
      <w:r>
        <w:t xml:space="preserve">. The factors are: </w:t>
      </w:r>
      <w:r w:rsidR="00C224DB" w:rsidRPr="00242176">
        <w:rPr>
          <w:color w:val="000000"/>
        </w:rPr>
        <w:t>institutions (government and Church); religion; economic influences; and attitudes in society</w:t>
      </w:r>
    </w:p>
    <w:p w14:paraId="29E7A459" w14:textId="77777777" w:rsidR="00BA3CE0" w:rsidRDefault="00BA3CE0" w:rsidP="00BA3CE0">
      <w:pPr>
        <w:pStyle w:val="textbullets"/>
        <w:numPr>
          <w:ilvl w:val="0"/>
          <w:numId w:val="0"/>
        </w:numPr>
        <w:ind w:left="964" w:hanging="397"/>
      </w:pPr>
    </w:p>
    <w:p w14:paraId="3698AA79" w14:textId="77777777" w:rsidR="00760002" w:rsidRPr="00D35A1F" w:rsidRDefault="00760002" w:rsidP="00760002">
      <w:pPr>
        <w:pStyle w:val="text"/>
      </w:pPr>
      <w:r>
        <w:t xml:space="preserve">In the </w:t>
      </w:r>
      <w:r w:rsidR="00C224DB">
        <w:t xml:space="preserve">Historic </w:t>
      </w:r>
      <w:r>
        <w:t>environment section, t</w:t>
      </w:r>
      <w:r w:rsidRPr="00D35A1F">
        <w:t xml:space="preserve">he following </w:t>
      </w:r>
      <w:r>
        <w:t xml:space="preserve">concepts of evidence have been included alongside the content: source utility </w:t>
      </w:r>
      <w:r w:rsidRPr="00D35A1F">
        <w:t>and following up a source.</w:t>
      </w:r>
      <w:r>
        <w:t xml:space="preserve"> Note that each of these question types could be asked on any of the </w:t>
      </w:r>
      <w:r w:rsidR="00C224DB">
        <w:t xml:space="preserve">Historic </w:t>
      </w:r>
      <w:r>
        <w:t>environment content: they are included in particular weeks only as suggestions for how they could be incorporated into the content.</w:t>
      </w:r>
    </w:p>
    <w:p w14:paraId="19D0AA05" w14:textId="77777777" w:rsidR="00BA3CE0" w:rsidRDefault="00BA3CE0" w:rsidP="00BA3CE0">
      <w:pPr>
        <w:pStyle w:val="textbullets"/>
        <w:numPr>
          <w:ilvl w:val="0"/>
          <w:numId w:val="0"/>
        </w:numPr>
        <w:ind w:left="964" w:hanging="397"/>
        <w:sectPr w:rsidR="00BA3CE0" w:rsidSect="00065884">
          <w:headerReference w:type="default" r:id="rId13"/>
          <w:footerReference w:type="even" r:id="rId14"/>
          <w:footerReference w:type="default" r:id="rId15"/>
          <w:pgSz w:w="16840" w:h="11900" w:orient="landscape" w:code="9"/>
          <w:pgMar w:top="1418" w:right="1418" w:bottom="1418" w:left="1134" w:header="567" w:footer="567" w:gutter="0"/>
          <w:pgNumType w:start="1"/>
          <w:cols w:space="708"/>
          <w:docGrid w:linePitch="326"/>
        </w:sectPr>
      </w:pPr>
    </w:p>
    <w:p w14:paraId="75172EEC" w14:textId="77777777" w:rsidR="00760002" w:rsidRDefault="00760002" w:rsidP="00760002">
      <w:pPr>
        <w:pStyle w:val="text"/>
      </w:pPr>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60"/>
        <w:gridCol w:w="3258"/>
        <w:gridCol w:w="10286"/>
      </w:tblGrid>
      <w:tr w:rsidR="002E0A54" w:rsidRPr="004C7F7D" w14:paraId="2076E575" w14:textId="77777777" w:rsidTr="002E0A54">
        <w:trPr>
          <w:cantSplit/>
          <w:trHeight w:val="89"/>
          <w:tblHeader/>
        </w:trPr>
        <w:tc>
          <w:tcPr>
            <w:tcW w:w="331" w:type="pct"/>
            <w:tcBorders>
              <w:top w:val="single" w:sz="4" w:space="0" w:color="FFFFFF"/>
              <w:left w:val="single" w:sz="4" w:space="0" w:color="FFFFFF"/>
              <w:right w:val="single" w:sz="4" w:space="0" w:color="FFFFFF"/>
            </w:tcBorders>
            <w:shd w:val="clear" w:color="auto" w:fill="999999"/>
          </w:tcPr>
          <w:p w14:paraId="156FFAEA" w14:textId="77777777" w:rsidR="002E0A54" w:rsidRPr="00F532F8" w:rsidRDefault="002E0A54" w:rsidP="002E0A54">
            <w:pPr>
              <w:pStyle w:val="tabletexthd"/>
              <w:spacing w:before="60"/>
              <w:jc w:val="center"/>
              <w:rPr>
                <w:sz w:val="18"/>
                <w:szCs w:val="18"/>
                <w:shd w:val="clear" w:color="auto" w:fill="FFFFFF"/>
              </w:rPr>
            </w:pPr>
            <w:r>
              <w:rPr>
                <w:sz w:val="18"/>
                <w:szCs w:val="18"/>
              </w:rPr>
              <w:t>Week</w:t>
            </w:r>
          </w:p>
        </w:tc>
        <w:tc>
          <w:tcPr>
            <w:tcW w:w="1123" w:type="pct"/>
            <w:tcBorders>
              <w:top w:val="single" w:sz="4" w:space="0" w:color="FFFFFF"/>
              <w:left w:val="single" w:sz="4" w:space="0" w:color="FFFFFF"/>
              <w:right w:val="single" w:sz="4" w:space="0" w:color="FFFFFF"/>
            </w:tcBorders>
            <w:shd w:val="clear" w:color="auto" w:fill="999999"/>
          </w:tcPr>
          <w:p w14:paraId="03F99B22" w14:textId="77777777" w:rsidR="002E0A54" w:rsidRPr="00F532F8" w:rsidRDefault="002E0A54" w:rsidP="00D83886">
            <w:pPr>
              <w:pStyle w:val="tabletexthd"/>
              <w:spacing w:before="60"/>
              <w:jc w:val="center"/>
              <w:rPr>
                <w:sz w:val="18"/>
                <w:szCs w:val="18"/>
              </w:rPr>
            </w:pPr>
            <w:r>
              <w:rPr>
                <w:sz w:val="18"/>
                <w:szCs w:val="18"/>
              </w:rPr>
              <w:t>Key topic / content strand</w:t>
            </w:r>
          </w:p>
        </w:tc>
        <w:tc>
          <w:tcPr>
            <w:tcW w:w="3546" w:type="pct"/>
            <w:tcBorders>
              <w:top w:val="single" w:sz="4" w:space="0" w:color="FFFFFF"/>
              <w:left w:val="single" w:sz="4" w:space="0" w:color="FFFFFF"/>
              <w:right w:val="single" w:sz="4" w:space="0" w:color="FFFFFF"/>
            </w:tcBorders>
            <w:shd w:val="clear" w:color="auto" w:fill="999999"/>
          </w:tcPr>
          <w:p w14:paraId="19C11CB4" w14:textId="77777777" w:rsidR="002E0A54" w:rsidRDefault="002E0A54" w:rsidP="00D83886">
            <w:pPr>
              <w:pStyle w:val="tabletexthd"/>
              <w:spacing w:before="60"/>
              <w:jc w:val="center"/>
              <w:rPr>
                <w:sz w:val="18"/>
                <w:szCs w:val="18"/>
              </w:rPr>
            </w:pPr>
            <w:r>
              <w:rPr>
                <w:sz w:val="18"/>
                <w:szCs w:val="18"/>
              </w:rPr>
              <w:t>Specification content</w:t>
            </w:r>
          </w:p>
        </w:tc>
      </w:tr>
      <w:tr w:rsidR="00760002" w:rsidRPr="002B4ED0" w14:paraId="26EA03EF" w14:textId="77777777" w:rsidTr="002E0A54">
        <w:trPr>
          <w:cantSplit/>
          <w:trHeight w:val="400"/>
        </w:trPr>
        <w:tc>
          <w:tcPr>
            <w:tcW w:w="331" w:type="pct"/>
            <w:vMerge w:val="restart"/>
            <w:tcBorders>
              <w:top w:val="single" w:sz="4" w:space="0" w:color="999999"/>
            </w:tcBorders>
            <w:shd w:val="clear" w:color="auto" w:fill="auto"/>
          </w:tcPr>
          <w:p w14:paraId="0C4D7899" w14:textId="77777777" w:rsidR="00760002" w:rsidRPr="00D57ECF" w:rsidRDefault="00760002" w:rsidP="002E0A54">
            <w:pPr>
              <w:pStyle w:val="textbullets"/>
              <w:numPr>
                <w:ilvl w:val="0"/>
                <w:numId w:val="0"/>
              </w:numPr>
              <w:spacing w:before="60"/>
              <w:jc w:val="center"/>
              <w:rPr>
                <w:rFonts w:cs="Arial"/>
                <w:szCs w:val="18"/>
              </w:rPr>
            </w:pPr>
            <w:r>
              <w:rPr>
                <w:rFonts w:cs="Arial"/>
                <w:szCs w:val="18"/>
              </w:rPr>
              <w:t>1</w:t>
            </w:r>
          </w:p>
        </w:tc>
        <w:tc>
          <w:tcPr>
            <w:tcW w:w="4669" w:type="pct"/>
            <w:gridSpan w:val="2"/>
            <w:tcBorders>
              <w:top w:val="single" w:sz="4" w:space="0" w:color="999999"/>
              <w:bottom w:val="single" w:sz="4" w:space="0" w:color="999999"/>
            </w:tcBorders>
          </w:tcPr>
          <w:p w14:paraId="131836D0" w14:textId="77777777" w:rsidR="00760002" w:rsidRPr="00235C91" w:rsidRDefault="00760002" w:rsidP="00D83886">
            <w:pPr>
              <w:pStyle w:val="Tabletextbullets"/>
              <w:rPr>
                <w:i/>
              </w:rPr>
            </w:pPr>
            <w:r w:rsidRPr="00235C91">
              <w:rPr>
                <w:i/>
              </w:rPr>
              <w:t xml:space="preserve">Introduction and overview to </w:t>
            </w:r>
            <w:r w:rsidR="003113A6" w:rsidRPr="00235C91">
              <w:rPr>
                <w:i/>
              </w:rPr>
              <w:t>Migrants</w:t>
            </w:r>
            <w:r w:rsidRPr="00235C91">
              <w:rPr>
                <w:i/>
              </w:rPr>
              <w:t xml:space="preserve"> in Britain, c</w:t>
            </w:r>
            <w:r w:rsidR="003113A6" w:rsidRPr="00235C91">
              <w:rPr>
                <w:i/>
              </w:rPr>
              <w:t>80</w:t>
            </w:r>
            <w:r w:rsidRPr="00235C91">
              <w:rPr>
                <w:i/>
              </w:rPr>
              <w:t>0</w:t>
            </w:r>
            <w:r w:rsidR="00235C91">
              <w:rPr>
                <w:i/>
              </w:rPr>
              <w:t>–</w:t>
            </w:r>
            <w:r w:rsidRPr="00235C91">
              <w:rPr>
                <w:i/>
              </w:rPr>
              <w:t xml:space="preserve">present. </w:t>
            </w:r>
            <w:r w:rsidR="0085560A" w:rsidRPr="00235C91">
              <w:rPr>
                <w:i/>
              </w:rPr>
              <w:t>When and why did key migrant groups arrive in Britain</w:t>
            </w:r>
            <w:r w:rsidRPr="00235C91">
              <w:rPr>
                <w:i/>
              </w:rPr>
              <w:t>?</w:t>
            </w:r>
          </w:p>
          <w:p w14:paraId="22FB8A01" w14:textId="77777777" w:rsidR="00760002" w:rsidRPr="00235C91" w:rsidRDefault="00760002" w:rsidP="0085560A">
            <w:pPr>
              <w:pStyle w:val="Tabletextbullets"/>
              <w:rPr>
                <w:szCs w:val="18"/>
              </w:rPr>
            </w:pPr>
            <w:r w:rsidRPr="00235C91">
              <w:rPr>
                <w:i/>
              </w:rPr>
              <w:t xml:space="preserve">Overview of key features in the development of </w:t>
            </w:r>
            <w:r w:rsidR="0085560A" w:rsidRPr="00235C91">
              <w:rPr>
                <w:i/>
              </w:rPr>
              <w:t>Britain and how its context led to migration</w:t>
            </w:r>
            <w:r w:rsidRPr="00235C91">
              <w:rPr>
                <w:i/>
              </w:rPr>
              <w:t xml:space="preserve"> in the periods studied.</w:t>
            </w:r>
          </w:p>
        </w:tc>
      </w:tr>
      <w:tr w:rsidR="00760002" w:rsidRPr="002B4ED0" w14:paraId="63EC25F2" w14:textId="77777777" w:rsidTr="002E0A54">
        <w:trPr>
          <w:cantSplit/>
          <w:trHeight w:val="400"/>
        </w:trPr>
        <w:tc>
          <w:tcPr>
            <w:tcW w:w="331" w:type="pct"/>
            <w:vMerge/>
            <w:shd w:val="clear" w:color="auto" w:fill="auto"/>
          </w:tcPr>
          <w:p w14:paraId="7AA5AACF" w14:textId="77777777" w:rsidR="00760002" w:rsidRPr="00D57ECF" w:rsidRDefault="00760002" w:rsidP="002E0A54">
            <w:pPr>
              <w:pStyle w:val="textbullets"/>
              <w:numPr>
                <w:ilvl w:val="0"/>
                <w:numId w:val="0"/>
              </w:numPr>
              <w:spacing w:before="60"/>
              <w:jc w:val="center"/>
              <w:rPr>
                <w:rFonts w:cs="Arial"/>
                <w:szCs w:val="18"/>
              </w:rPr>
            </w:pPr>
          </w:p>
        </w:tc>
        <w:tc>
          <w:tcPr>
            <w:tcW w:w="4669" w:type="pct"/>
            <w:gridSpan w:val="2"/>
            <w:tcBorders>
              <w:top w:val="single" w:sz="4" w:space="0" w:color="999999"/>
              <w:bottom w:val="single" w:sz="4" w:space="0" w:color="999999"/>
            </w:tcBorders>
          </w:tcPr>
          <w:p w14:paraId="4096AFE0" w14:textId="77777777" w:rsidR="00760002" w:rsidRPr="00235C91" w:rsidRDefault="00CA7306" w:rsidP="00D83886">
            <w:pPr>
              <w:pStyle w:val="Tabletext"/>
              <w:rPr>
                <w:b/>
              </w:rPr>
            </w:pPr>
            <w:r w:rsidRPr="00235C91">
              <w:rPr>
                <w:b/>
              </w:rPr>
              <w:t>c800</w:t>
            </w:r>
            <w:r w:rsidR="00760002" w:rsidRPr="00235C91">
              <w:rPr>
                <w:b/>
              </w:rPr>
              <w:t xml:space="preserve">–c1500: </w:t>
            </w:r>
            <w:r w:rsidRPr="00235C91">
              <w:rPr>
                <w:b/>
              </w:rPr>
              <w:t>Migration</w:t>
            </w:r>
            <w:r w:rsidR="00760002" w:rsidRPr="00235C91">
              <w:rPr>
                <w:b/>
              </w:rPr>
              <w:t xml:space="preserve"> in medieval England</w:t>
            </w:r>
          </w:p>
          <w:p w14:paraId="6FE5F4C5" w14:textId="2752E5EA" w:rsidR="00760002" w:rsidRPr="00235C91" w:rsidRDefault="0085560A" w:rsidP="0085560A">
            <w:pPr>
              <w:pStyle w:val="Tabletextbullets"/>
              <w:rPr>
                <w:i/>
                <w:szCs w:val="18"/>
              </w:rPr>
            </w:pPr>
            <w:r w:rsidRPr="00235C91">
              <w:rPr>
                <w:i/>
              </w:rPr>
              <w:t>Brief overview of the period: medieval England.</w:t>
            </w:r>
          </w:p>
        </w:tc>
      </w:tr>
      <w:tr w:rsidR="00760002" w:rsidRPr="002B4ED0" w14:paraId="7A0B8373" w14:textId="77777777" w:rsidTr="002E0A54">
        <w:trPr>
          <w:cantSplit/>
          <w:trHeight w:val="400"/>
        </w:trPr>
        <w:tc>
          <w:tcPr>
            <w:tcW w:w="331" w:type="pct"/>
            <w:vMerge/>
            <w:tcBorders>
              <w:bottom w:val="single" w:sz="4" w:space="0" w:color="999999"/>
            </w:tcBorders>
            <w:shd w:val="clear" w:color="auto" w:fill="auto"/>
          </w:tcPr>
          <w:p w14:paraId="7578A2D5" w14:textId="77777777" w:rsidR="00760002" w:rsidRPr="00D57ECF" w:rsidRDefault="00760002" w:rsidP="002E0A54">
            <w:pPr>
              <w:pStyle w:val="textbullets"/>
              <w:numPr>
                <w:ilvl w:val="0"/>
                <w:numId w:val="0"/>
              </w:numPr>
              <w:tabs>
                <w:tab w:val="clear" w:pos="964"/>
              </w:tabs>
              <w:spacing w:before="60"/>
              <w:jc w:val="center"/>
              <w:rPr>
                <w:rFonts w:cs="Arial"/>
                <w:szCs w:val="18"/>
              </w:rPr>
            </w:pPr>
          </w:p>
        </w:tc>
        <w:tc>
          <w:tcPr>
            <w:tcW w:w="1123" w:type="pct"/>
            <w:vMerge w:val="restart"/>
            <w:tcBorders>
              <w:top w:val="single" w:sz="4" w:space="0" w:color="999999"/>
            </w:tcBorders>
          </w:tcPr>
          <w:p w14:paraId="300BB121" w14:textId="77777777" w:rsidR="00760002" w:rsidRPr="00007504" w:rsidRDefault="00760002" w:rsidP="00D83886">
            <w:pPr>
              <w:pStyle w:val="Tabletext"/>
              <w:rPr>
                <w:szCs w:val="18"/>
              </w:rPr>
            </w:pPr>
            <w:r>
              <w:t>1</w:t>
            </w:r>
            <w:r w:rsidRPr="00BA636E">
              <w:t xml:space="preserve"> </w:t>
            </w:r>
            <w:r w:rsidR="00CA7306">
              <w:t>The context for migration</w:t>
            </w:r>
          </w:p>
        </w:tc>
        <w:tc>
          <w:tcPr>
            <w:tcW w:w="3546" w:type="pct"/>
            <w:tcBorders>
              <w:top w:val="single" w:sz="4" w:space="0" w:color="999999"/>
              <w:bottom w:val="single" w:sz="4" w:space="0" w:color="999999"/>
            </w:tcBorders>
          </w:tcPr>
          <w:p w14:paraId="4B96FA42" w14:textId="77777777" w:rsidR="00760002" w:rsidRPr="006021D7" w:rsidRDefault="00CA7306" w:rsidP="00D83886">
            <w:pPr>
              <w:pStyle w:val="Tabletextbullets"/>
            </w:pPr>
            <w:r w:rsidRPr="00CA7306">
              <w:t>Reasons for migration and patterns of settlement, including Vikings, Normans, Jews and other European traders and craftsmen</w:t>
            </w:r>
            <w:r w:rsidR="00760002" w:rsidRPr="00607205">
              <w:t>.</w:t>
            </w:r>
          </w:p>
        </w:tc>
      </w:tr>
      <w:tr w:rsidR="00760002" w:rsidRPr="002B4ED0" w14:paraId="0DDD6956" w14:textId="77777777" w:rsidTr="002E0A54">
        <w:trPr>
          <w:cantSplit/>
          <w:trHeight w:val="400"/>
        </w:trPr>
        <w:tc>
          <w:tcPr>
            <w:tcW w:w="331" w:type="pct"/>
            <w:vMerge w:val="restart"/>
            <w:shd w:val="clear" w:color="auto" w:fill="auto"/>
          </w:tcPr>
          <w:p w14:paraId="26BECBF0" w14:textId="77777777" w:rsidR="00760002" w:rsidRPr="00D57ECF" w:rsidRDefault="00760002" w:rsidP="002E0A54">
            <w:pPr>
              <w:pStyle w:val="textbullets"/>
              <w:numPr>
                <w:ilvl w:val="0"/>
                <w:numId w:val="0"/>
              </w:numPr>
              <w:tabs>
                <w:tab w:val="clear" w:pos="964"/>
              </w:tabs>
              <w:spacing w:before="60"/>
              <w:jc w:val="center"/>
              <w:rPr>
                <w:rFonts w:cs="Arial"/>
                <w:szCs w:val="18"/>
              </w:rPr>
            </w:pPr>
            <w:r>
              <w:rPr>
                <w:rFonts w:cs="Arial"/>
                <w:szCs w:val="18"/>
              </w:rPr>
              <w:t>2</w:t>
            </w:r>
          </w:p>
        </w:tc>
        <w:tc>
          <w:tcPr>
            <w:tcW w:w="1123" w:type="pct"/>
            <w:vMerge/>
            <w:tcBorders>
              <w:bottom w:val="single" w:sz="4" w:space="0" w:color="999999"/>
            </w:tcBorders>
          </w:tcPr>
          <w:p w14:paraId="00A28517" w14:textId="77777777" w:rsidR="00760002" w:rsidRDefault="00760002" w:rsidP="00D83886">
            <w:pPr>
              <w:pStyle w:val="Tabletext"/>
            </w:pPr>
          </w:p>
        </w:tc>
        <w:tc>
          <w:tcPr>
            <w:tcW w:w="3546" w:type="pct"/>
            <w:tcBorders>
              <w:top w:val="single" w:sz="4" w:space="0" w:color="999999"/>
              <w:bottom w:val="single" w:sz="4" w:space="0" w:color="999999"/>
            </w:tcBorders>
          </w:tcPr>
          <w:p w14:paraId="75D88118" w14:textId="77777777" w:rsidR="00760002" w:rsidRPr="00EC596F" w:rsidRDefault="00235C91" w:rsidP="00D83886">
            <w:pPr>
              <w:pStyle w:val="Tabletextbullets"/>
            </w:pPr>
            <w:r w:rsidRPr="00EC596F">
              <w:t>The context of English society: landownership and the growth of towns; the role of the wool industry; opportunities for migrants; the role of the monarchy, including the need for royal finance; England as a part of Christendom.</w:t>
            </w:r>
          </w:p>
        </w:tc>
      </w:tr>
      <w:tr w:rsidR="00760002" w:rsidRPr="002B4ED0" w14:paraId="05BAD8D0" w14:textId="77777777" w:rsidTr="002E0A54">
        <w:trPr>
          <w:cantSplit/>
          <w:trHeight w:val="400"/>
        </w:trPr>
        <w:tc>
          <w:tcPr>
            <w:tcW w:w="331" w:type="pct"/>
            <w:vMerge/>
            <w:tcBorders>
              <w:bottom w:val="single" w:sz="4" w:space="0" w:color="999999"/>
            </w:tcBorders>
            <w:shd w:val="clear" w:color="auto" w:fill="auto"/>
          </w:tcPr>
          <w:p w14:paraId="021ED1C0" w14:textId="77777777" w:rsidR="00760002" w:rsidRPr="00D57ECF" w:rsidRDefault="00760002" w:rsidP="002E0A54">
            <w:pPr>
              <w:pStyle w:val="textbullets"/>
              <w:numPr>
                <w:ilvl w:val="0"/>
                <w:numId w:val="0"/>
              </w:numPr>
              <w:tabs>
                <w:tab w:val="clear" w:pos="964"/>
              </w:tabs>
              <w:spacing w:before="60"/>
              <w:jc w:val="center"/>
              <w:rPr>
                <w:rFonts w:cs="Arial"/>
                <w:szCs w:val="18"/>
              </w:rPr>
            </w:pPr>
          </w:p>
        </w:tc>
        <w:tc>
          <w:tcPr>
            <w:tcW w:w="1123" w:type="pct"/>
            <w:vMerge w:val="restart"/>
            <w:tcBorders>
              <w:top w:val="single" w:sz="4" w:space="0" w:color="999999"/>
            </w:tcBorders>
          </w:tcPr>
          <w:p w14:paraId="73616D7E" w14:textId="77777777" w:rsidR="00760002" w:rsidRPr="00BA636E" w:rsidRDefault="00760002" w:rsidP="00D83886">
            <w:pPr>
              <w:pStyle w:val="Tabletext"/>
            </w:pPr>
            <w:r>
              <w:t xml:space="preserve">2 </w:t>
            </w:r>
            <w:r w:rsidR="00CA7306">
              <w:t>The experience and impact of migrants</w:t>
            </w:r>
          </w:p>
        </w:tc>
        <w:tc>
          <w:tcPr>
            <w:tcW w:w="3546" w:type="pct"/>
            <w:tcBorders>
              <w:top w:val="single" w:sz="4" w:space="0" w:color="999999"/>
              <w:bottom w:val="single" w:sz="4" w:space="0" w:color="999999"/>
            </w:tcBorders>
          </w:tcPr>
          <w:p w14:paraId="7BB26432" w14:textId="77777777" w:rsidR="00760002" w:rsidRPr="00EC596F" w:rsidRDefault="00235C91" w:rsidP="00D83886">
            <w:pPr>
              <w:pStyle w:val="Tabletextbullets"/>
            </w:pPr>
            <w:r w:rsidRPr="00EC596F">
              <w:t>The experience of migrants in England: their relations with the authorities and the existing population, including the legal status of ‘alien’ and the impact of the Black Death.</w:t>
            </w:r>
          </w:p>
        </w:tc>
      </w:tr>
      <w:tr w:rsidR="00760002" w:rsidRPr="002B4ED0" w14:paraId="00928961" w14:textId="77777777" w:rsidTr="002E0A54">
        <w:trPr>
          <w:cantSplit/>
          <w:trHeight w:val="400"/>
        </w:trPr>
        <w:tc>
          <w:tcPr>
            <w:tcW w:w="331" w:type="pct"/>
            <w:vMerge w:val="restart"/>
            <w:tcBorders>
              <w:top w:val="single" w:sz="4" w:space="0" w:color="999999"/>
            </w:tcBorders>
            <w:shd w:val="clear" w:color="auto" w:fill="auto"/>
          </w:tcPr>
          <w:p w14:paraId="6C1C66C5"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t>3</w:t>
            </w:r>
          </w:p>
        </w:tc>
        <w:tc>
          <w:tcPr>
            <w:tcW w:w="1123" w:type="pct"/>
            <w:vMerge/>
            <w:tcBorders>
              <w:bottom w:val="single" w:sz="4" w:space="0" w:color="999999"/>
            </w:tcBorders>
          </w:tcPr>
          <w:p w14:paraId="189F9126" w14:textId="77777777" w:rsidR="00760002" w:rsidRPr="00BA636E" w:rsidRDefault="00760002" w:rsidP="00D83886">
            <w:pPr>
              <w:pStyle w:val="Tabletext"/>
            </w:pPr>
          </w:p>
        </w:tc>
        <w:tc>
          <w:tcPr>
            <w:tcW w:w="3546" w:type="pct"/>
            <w:tcBorders>
              <w:top w:val="single" w:sz="4" w:space="0" w:color="999999"/>
              <w:bottom w:val="single" w:sz="4" w:space="0" w:color="999999"/>
            </w:tcBorders>
          </w:tcPr>
          <w:p w14:paraId="3C9022C4" w14:textId="77777777" w:rsidR="00760002" w:rsidRPr="00EC596F" w:rsidRDefault="00235C91" w:rsidP="00D83886">
            <w:pPr>
              <w:pStyle w:val="Tabletextbullets"/>
            </w:pPr>
            <w:r w:rsidRPr="00EC596F">
              <w:t>The impact of migrants in England, including the Danelaw, culture, trade and the built environment.</w:t>
            </w:r>
          </w:p>
        </w:tc>
      </w:tr>
      <w:tr w:rsidR="00760002" w:rsidRPr="002B4ED0" w14:paraId="6643CC76" w14:textId="77777777" w:rsidTr="002E0A54">
        <w:trPr>
          <w:cantSplit/>
          <w:trHeight w:val="400"/>
        </w:trPr>
        <w:tc>
          <w:tcPr>
            <w:tcW w:w="331" w:type="pct"/>
            <w:vMerge/>
            <w:tcBorders>
              <w:bottom w:val="single" w:sz="4" w:space="0" w:color="999999"/>
            </w:tcBorders>
            <w:shd w:val="clear" w:color="auto" w:fill="auto"/>
          </w:tcPr>
          <w:p w14:paraId="10AD0F5B" w14:textId="77777777" w:rsidR="00760002" w:rsidRPr="00D57ECF" w:rsidRDefault="00760002" w:rsidP="00D83886">
            <w:pPr>
              <w:pStyle w:val="textbullets"/>
              <w:numPr>
                <w:ilvl w:val="0"/>
                <w:numId w:val="0"/>
              </w:numPr>
              <w:tabs>
                <w:tab w:val="clear" w:pos="964"/>
              </w:tabs>
              <w:spacing w:before="60" w:line="240" w:lineRule="auto"/>
              <w:ind w:left="964" w:right="6" w:hanging="397"/>
              <w:jc w:val="both"/>
              <w:rPr>
                <w:rFonts w:cs="Arial"/>
                <w:szCs w:val="18"/>
              </w:rPr>
            </w:pPr>
          </w:p>
        </w:tc>
        <w:tc>
          <w:tcPr>
            <w:tcW w:w="1123" w:type="pct"/>
            <w:tcBorders>
              <w:top w:val="single" w:sz="4" w:space="0" w:color="999999"/>
              <w:bottom w:val="single" w:sz="4" w:space="0" w:color="999999"/>
            </w:tcBorders>
          </w:tcPr>
          <w:p w14:paraId="5A32C39D" w14:textId="77777777" w:rsidR="00760002" w:rsidRDefault="00760002" w:rsidP="00D83886">
            <w:pPr>
              <w:pStyle w:val="Tabletext"/>
            </w:pPr>
            <w:r w:rsidRPr="00BA636E">
              <w:t>3 Case study</w:t>
            </w:r>
          </w:p>
          <w:p w14:paraId="68875428" w14:textId="77777777" w:rsidR="00760002" w:rsidRPr="00F93585" w:rsidRDefault="00760002" w:rsidP="00D83886">
            <w:pPr>
              <w:pStyle w:val="Tabletext"/>
              <w:rPr>
                <w:i/>
              </w:rPr>
            </w:pPr>
            <w:r w:rsidRPr="00F93585">
              <w:rPr>
                <w:i/>
              </w:rPr>
              <w:t xml:space="preserve">Review </w:t>
            </w:r>
          </w:p>
        </w:tc>
        <w:tc>
          <w:tcPr>
            <w:tcW w:w="3546" w:type="pct"/>
            <w:tcBorders>
              <w:top w:val="single" w:sz="4" w:space="0" w:color="999999"/>
              <w:bottom w:val="single" w:sz="4" w:space="0" w:color="999999"/>
            </w:tcBorders>
          </w:tcPr>
          <w:p w14:paraId="2AB47D44" w14:textId="77777777" w:rsidR="00760002" w:rsidRDefault="00CA7306" w:rsidP="00D83886">
            <w:pPr>
              <w:pStyle w:val="Tabletextbullets"/>
            </w:pPr>
            <w:r w:rsidRPr="00CA7306">
              <w:t>The city of York under the Vikings</w:t>
            </w:r>
            <w:r w:rsidR="00760002">
              <w:t>.</w:t>
            </w:r>
          </w:p>
          <w:p w14:paraId="69366168" w14:textId="77777777" w:rsidR="00760002" w:rsidRPr="00557C06" w:rsidRDefault="00760002" w:rsidP="0085560A">
            <w:pPr>
              <w:pStyle w:val="Tabletextbullets"/>
              <w:rPr>
                <w:i/>
              </w:rPr>
            </w:pPr>
            <w:r w:rsidRPr="00557C06">
              <w:rPr>
                <w:i/>
              </w:rPr>
              <w:t xml:space="preserve">Summary of </w:t>
            </w:r>
            <w:r>
              <w:rPr>
                <w:i/>
              </w:rPr>
              <w:t>the influence</w:t>
            </w:r>
            <w:r w:rsidRPr="00557C06">
              <w:rPr>
                <w:i/>
              </w:rPr>
              <w:t xml:space="preserve"> of key factors </w:t>
            </w:r>
            <w:r>
              <w:rPr>
                <w:i/>
              </w:rPr>
              <w:t xml:space="preserve">on </w:t>
            </w:r>
            <w:r w:rsidR="0085560A">
              <w:rPr>
                <w:i/>
              </w:rPr>
              <w:t>change and continuity</w:t>
            </w:r>
            <w:r>
              <w:rPr>
                <w:i/>
              </w:rPr>
              <w:t xml:space="preserve"> </w:t>
            </w:r>
            <w:r w:rsidRPr="00557C06">
              <w:rPr>
                <w:i/>
              </w:rPr>
              <w:t xml:space="preserve">in </w:t>
            </w:r>
            <w:r>
              <w:rPr>
                <w:i/>
              </w:rPr>
              <w:t>the years c</w:t>
            </w:r>
            <w:r w:rsidR="00CA7306">
              <w:rPr>
                <w:i/>
              </w:rPr>
              <w:t>80</w:t>
            </w:r>
            <w:r>
              <w:rPr>
                <w:i/>
              </w:rPr>
              <w:t>0–c1500</w:t>
            </w:r>
            <w:r w:rsidRPr="00557C06">
              <w:rPr>
                <w:i/>
              </w:rPr>
              <w:t>.</w:t>
            </w:r>
          </w:p>
        </w:tc>
      </w:tr>
    </w:tbl>
    <w:p w14:paraId="5207CA78" w14:textId="77777777" w:rsidR="00CA7306" w:rsidRDefault="00760002">
      <w:r>
        <w:br w:type="page"/>
      </w:r>
    </w:p>
    <w:tbl>
      <w:tblPr>
        <w:tblW w:w="5000" w:type="pct"/>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60"/>
        <w:gridCol w:w="3258"/>
        <w:gridCol w:w="10286"/>
      </w:tblGrid>
      <w:tr w:rsidR="002E0A54" w:rsidRPr="004C7F7D" w14:paraId="219E9B71" w14:textId="77777777" w:rsidTr="002E0A54">
        <w:trPr>
          <w:cantSplit/>
          <w:trHeight w:val="89"/>
          <w:tblHeader/>
        </w:trPr>
        <w:tc>
          <w:tcPr>
            <w:tcW w:w="331" w:type="pct"/>
            <w:tcBorders>
              <w:top w:val="single" w:sz="4" w:space="0" w:color="FFFFFF"/>
              <w:left w:val="single" w:sz="4" w:space="0" w:color="FFFFFF"/>
              <w:right w:val="single" w:sz="4" w:space="0" w:color="FFFFFF"/>
            </w:tcBorders>
            <w:shd w:val="clear" w:color="auto" w:fill="999999"/>
          </w:tcPr>
          <w:p w14:paraId="0FEF4440" w14:textId="77777777" w:rsidR="002E0A54" w:rsidRPr="00F532F8" w:rsidRDefault="002E0A54" w:rsidP="002E0A54">
            <w:pPr>
              <w:pStyle w:val="tabletexthd"/>
              <w:spacing w:before="60"/>
              <w:jc w:val="center"/>
              <w:rPr>
                <w:sz w:val="18"/>
                <w:szCs w:val="18"/>
                <w:shd w:val="clear" w:color="auto" w:fill="FFFFFF"/>
              </w:rPr>
            </w:pPr>
            <w:r>
              <w:rPr>
                <w:sz w:val="18"/>
                <w:szCs w:val="18"/>
              </w:rPr>
              <w:t>Week</w:t>
            </w:r>
          </w:p>
        </w:tc>
        <w:tc>
          <w:tcPr>
            <w:tcW w:w="1123" w:type="pct"/>
            <w:tcBorders>
              <w:top w:val="single" w:sz="4" w:space="0" w:color="FFFFFF"/>
              <w:left w:val="single" w:sz="4" w:space="0" w:color="FFFFFF"/>
              <w:right w:val="single" w:sz="4" w:space="0" w:color="FFFFFF"/>
            </w:tcBorders>
            <w:shd w:val="clear" w:color="auto" w:fill="999999"/>
          </w:tcPr>
          <w:p w14:paraId="6919F8E1" w14:textId="77777777" w:rsidR="002E0A54" w:rsidRPr="00F532F8" w:rsidRDefault="002E0A54" w:rsidP="002E0A54">
            <w:pPr>
              <w:pStyle w:val="tabletexthd"/>
              <w:spacing w:before="60"/>
              <w:jc w:val="center"/>
              <w:rPr>
                <w:sz w:val="18"/>
                <w:szCs w:val="18"/>
              </w:rPr>
            </w:pPr>
            <w:r>
              <w:rPr>
                <w:sz w:val="18"/>
                <w:szCs w:val="18"/>
              </w:rPr>
              <w:t>Key topic / content strand</w:t>
            </w:r>
          </w:p>
        </w:tc>
        <w:tc>
          <w:tcPr>
            <w:tcW w:w="3546" w:type="pct"/>
            <w:tcBorders>
              <w:top w:val="single" w:sz="4" w:space="0" w:color="FFFFFF"/>
              <w:left w:val="single" w:sz="4" w:space="0" w:color="FFFFFF"/>
              <w:right w:val="single" w:sz="4" w:space="0" w:color="FFFFFF"/>
            </w:tcBorders>
            <w:shd w:val="clear" w:color="auto" w:fill="999999"/>
          </w:tcPr>
          <w:p w14:paraId="246DC155" w14:textId="77777777" w:rsidR="002E0A54" w:rsidRDefault="002E0A54" w:rsidP="002E0A54">
            <w:pPr>
              <w:pStyle w:val="tabletexthd"/>
              <w:spacing w:before="60"/>
              <w:jc w:val="center"/>
              <w:rPr>
                <w:sz w:val="18"/>
                <w:szCs w:val="18"/>
              </w:rPr>
            </w:pPr>
            <w:r>
              <w:rPr>
                <w:sz w:val="18"/>
                <w:szCs w:val="18"/>
              </w:rPr>
              <w:t>Specification content</w:t>
            </w:r>
          </w:p>
        </w:tc>
      </w:tr>
      <w:tr w:rsidR="00760002" w:rsidRPr="002B4ED0" w14:paraId="1CA37C5E" w14:textId="77777777" w:rsidTr="002E0A54">
        <w:trPr>
          <w:cantSplit/>
          <w:trHeight w:val="400"/>
        </w:trPr>
        <w:tc>
          <w:tcPr>
            <w:tcW w:w="331" w:type="pct"/>
            <w:vMerge w:val="restart"/>
            <w:tcBorders>
              <w:top w:val="single" w:sz="4" w:space="0" w:color="999999"/>
            </w:tcBorders>
            <w:shd w:val="clear" w:color="auto" w:fill="auto"/>
          </w:tcPr>
          <w:p w14:paraId="5CBE156A" w14:textId="77777777" w:rsidR="00760002" w:rsidRPr="00D57ECF" w:rsidRDefault="00760002" w:rsidP="002E0A54">
            <w:pPr>
              <w:pStyle w:val="textbullets"/>
              <w:numPr>
                <w:ilvl w:val="0"/>
                <w:numId w:val="0"/>
              </w:numPr>
              <w:spacing w:before="60"/>
              <w:jc w:val="center"/>
              <w:rPr>
                <w:rFonts w:cs="Arial"/>
                <w:szCs w:val="18"/>
              </w:rPr>
            </w:pPr>
            <w:r>
              <w:rPr>
                <w:rFonts w:cs="Arial"/>
                <w:szCs w:val="18"/>
              </w:rPr>
              <w:t>4</w:t>
            </w:r>
          </w:p>
        </w:tc>
        <w:tc>
          <w:tcPr>
            <w:tcW w:w="4669" w:type="pct"/>
            <w:gridSpan w:val="2"/>
            <w:tcBorders>
              <w:top w:val="single" w:sz="4" w:space="0" w:color="999999"/>
              <w:bottom w:val="single" w:sz="4" w:space="0" w:color="999999"/>
            </w:tcBorders>
          </w:tcPr>
          <w:p w14:paraId="03487BC6" w14:textId="77777777" w:rsidR="00760002" w:rsidRPr="00235C91" w:rsidRDefault="00760002" w:rsidP="00D83886">
            <w:pPr>
              <w:pStyle w:val="Tabletext"/>
              <w:rPr>
                <w:b/>
              </w:rPr>
            </w:pPr>
            <w:r w:rsidRPr="00235C91">
              <w:rPr>
                <w:b/>
              </w:rPr>
              <w:t xml:space="preserve">c1500–c1700: </w:t>
            </w:r>
            <w:r w:rsidR="00CA7306" w:rsidRPr="00235C91">
              <w:rPr>
                <w:b/>
              </w:rPr>
              <w:t>Migration</w:t>
            </w:r>
            <w:r w:rsidRPr="00235C91">
              <w:rPr>
                <w:b/>
              </w:rPr>
              <w:t xml:space="preserve"> in</w:t>
            </w:r>
            <w:r w:rsidR="00CA7306" w:rsidRPr="00235C91">
              <w:rPr>
                <w:b/>
              </w:rPr>
              <w:t xml:space="preserve"> early modern</w:t>
            </w:r>
            <w:r w:rsidRPr="00235C91">
              <w:rPr>
                <w:b/>
              </w:rPr>
              <w:t xml:space="preserve"> England</w:t>
            </w:r>
          </w:p>
          <w:p w14:paraId="0EC0FC80" w14:textId="77777777" w:rsidR="00760002" w:rsidRPr="00235C91" w:rsidRDefault="00760002" w:rsidP="0085560A">
            <w:pPr>
              <w:pStyle w:val="Tabletextbullets"/>
              <w:rPr>
                <w:i/>
                <w:szCs w:val="18"/>
              </w:rPr>
            </w:pPr>
            <w:r w:rsidRPr="00235C91">
              <w:rPr>
                <w:i/>
              </w:rPr>
              <w:t xml:space="preserve">Brief overview of the period: </w:t>
            </w:r>
            <w:r w:rsidR="0085560A" w:rsidRPr="00235C91">
              <w:rPr>
                <w:i/>
              </w:rPr>
              <w:t>England</w:t>
            </w:r>
            <w:r w:rsidRPr="00235C91">
              <w:rPr>
                <w:i/>
              </w:rPr>
              <w:t xml:space="preserve"> </w:t>
            </w:r>
            <w:r w:rsidR="00BC14DA" w:rsidRPr="00235C91">
              <w:rPr>
                <w:i/>
              </w:rPr>
              <w:t>c</w:t>
            </w:r>
            <w:r w:rsidRPr="00235C91">
              <w:rPr>
                <w:i/>
              </w:rPr>
              <w:t>1500</w:t>
            </w:r>
            <w:r w:rsidR="000334CD">
              <w:rPr>
                <w:i/>
              </w:rPr>
              <w:t>–</w:t>
            </w:r>
            <w:r w:rsidR="00BC14DA" w:rsidRPr="00235C91">
              <w:rPr>
                <w:i/>
              </w:rPr>
              <w:t>c</w:t>
            </w:r>
            <w:r w:rsidRPr="00235C91">
              <w:rPr>
                <w:i/>
              </w:rPr>
              <w:t>1700.</w:t>
            </w:r>
          </w:p>
        </w:tc>
      </w:tr>
      <w:tr w:rsidR="00CA7306" w:rsidRPr="002B4ED0" w14:paraId="5EECD1C4" w14:textId="77777777" w:rsidTr="002E0A54">
        <w:trPr>
          <w:cantSplit/>
          <w:trHeight w:val="400"/>
        </w:trPr>
        <w:tc>
          <w:tcPr>
            <w:tcW w:w="331" w:type="pct"/>
            <w:vMerge/>
            <w:tcBorders>
              <w:bottom w:val="single" w:sz="4" w:space="0" w:color="999999"/>
            </w:tcBorders>
            <w:shd w:val="clear" w:color="auto" w:fill="auto"/>
          </w:tcPr>
          <w:p w14:paraId="46E6DFAA" w14:textId="77777777" w:rsidR="00CA7306" w:rsidRPr="00D57ECF" w:rsidRDefault="00CA7306" w:rsidP="002E0A54">
            <w:pPr>
              <w:pStyle w:val="textbullets"/>
              <w:numPr>
                <w:ilvl w:val="0"/>
                <w:numId w:val="0"/>
              </w:numPr>
              <w:tabs>
                <w:tab w:val="clear" w:pos="964"/>
              </w:tabs>
              <w:spacing w:before="60"/>
              <w:jc w:val="center"/>
              <w:rPr>
                <w:rFonts w:cs="Arial"/>
                <w:szCs w:val="18"/>
              </w:rPr>
            </w:pPr>
          </w:p>
        </w:tc>
        <w:tc>
          <w:tcPr>
            <w:tcW w:w="1123" w:type="pct"/>
            <w:tcBorders>
              <w:top w:val="single" w:sz="4" w:space="0" w:color="999999"/>
              <w:bottom w:val="single" w:sz="4" w:space="0" w:color="999999"/>
            </w:tcBorders>
          </w:tcPr>
          <w:p w14:paraId="221F5B78" w14:textId="77777777" w:rsidR="00CA7306" w:rsidRPr="00BA636E" w:rsidRDefault="00CA7306" w:rsidP="00CA7306">
            <w:pPr>
              <w:pStyle w:val="Tabletext"/>
              <w:rPr>
                <w:b/>
              </w:rPr>
            </w:pPr>
            <w:r>
              <w:t>1</w:t>
            </w:r>
            <w:r w:rsidRPr="00BA636E">
              <w:t xml:space="preserve"> </w:t>
            </w:r>
            <w:r>
              <w:t>The context for migration</w:t>
            </w:r>
          </w:p>
        </w:tc>
        <w:tc>
          <w:tcPr>
            <w:tcW w:w="3546" w:type="pct"/>
            <w:tcBorders>
              <w:top w:val="single" w:sz="4" w:space="0" w:color="999999"/>
              <w:bottom w:val="single" w:sz="4" w:space="0" w:color="999999"/>
            </w:tcBorders>
          </w:tcPr>
          <w:p w14:paraId="2804D4D9" w14:textId="77777777" w:rsidR="00CA7306" w:rsidRDefault="00CA7306" w:rsidP="00CA7306">
            <w:pPr>
              <w:pStyle w:val="Tabletextbullets"/>
            </w:pPr>
            <w:r w:rsidRPr="00CA7306">
              <w:t>Change and continuity in reasons for migration and patterns of settlement, including migrants from Europe and Africa</w:t>
            </w:r>
            <w:r>
              <w:t>.</w:t>
            </w:r>
          </w:p>
          <w:p w14:paraId="5C6662E5" w14:textId="77777777" w:rsidR="00CA7306" w:rsidRPr="002B4ED0" w:rsidRDefault="00CA7306" w:rsidP="00CA7306">
            <w:pPr>
              <w:pStyle w:val="Tabletextbullets"/>
            </w:pPr>
            <w:r w:rsidRPr="00CA7306">
              <w:t>The changing context of English society: changing social structures; economic growth, including the cloth industry and global trading companies; privateering and trade; the emergence of England as a predominantly Protestant nation</w:t>
            </w:r>
            <w:r>
              <w:t>.</w:t>
            </w:r>
          </w:p>
        </w:tc>
      </w:tr>
      <w:tr w:rsidR="00CA7306" w:rsidRPr="002B4ED0" w14:paraId="2698AB82" w14:textId="77777777" w:rsidTr="002E0A54">
        <w:trPr>
          <w:cantSplit/>
          <w:trHeight w:val="400"/>
        </w:trPr>
        <w:tc>
          <w:tcPr>
            <w:tcW w:w="331" w:type="pct"/>
            <w:tcBorders>
              <w:top w:val="single" w:sz="4" w:space="0" w:color="999999"/>
              <w:bottom w:val="single" w:sz="4" w:space="0" w:color="999999"/>
            </w:tcBorders>
            <w:shd w:val="clear" w:color="auto" w:fill="auto"/>
          </w:tcPr>
          <w:p w14:paraId="3E383F98" w14:textId="77777777" w:rsidR="00CA7306" w:rsidRPr="00D57ECF" w:rsidRDefault="00CA7306" w:rsidP="002E0A54">
            <w:pPr>
              <w:pStyle w:val="textbullets"/>
              <w:numPr>
                <w:ilvl w:val="0"/>
                <w:numId w:val="0"/>
              </w:numPr>
              <w:tabs>
                <w:tab w:val="clear" w:pos="964"/>
              </w:tabs>
              <w:spacing w:before="60"/>
              <w:jc w:val="center"/>
              <w:rPr>
                <w:rFonts w:cs="Arial"/>
                <w:szCs w:val="18"/>
              </w:rPr>
            </w:pPr>
            <w:r>
              <w:rPr>
                <w:rFonts w:cs="Arial"/>
                <w:szCs w:val="18"/>
              </w:rPr>
              <w:t>5</w:t>
            </w:r>
          </w:p>
        </w:tc>
        <w:tc>
          <w:tcPr>
            <w:tcW w:w="1123" w:type="pct"/>
            <w:tcBorders>
              <w:top w:val="single" w:sz="4" w:space="0" w:color="999999"/>
              <w:bottom w:val="single" w:sz="4" w:space="0" w:color="999999"/>
            </w:tcBorders>
          </w:tcPr>
          <w:p w14:paraId="0EEC7992" w14:textId="77777777" w:rsidR="00CA7306" w:rsidRPr="00BA636E" w:rsidRDefault="00CA7306" w:rsidP="00CA7306">
            <w:pPr>
              <w:pStyle w:val="Tabletext"/>
            </w:pPr>
            <w:r>
              <w:t>2 The experience and impact of migrants</w:t>
            </w:r>
          </w:p>
        </w:tc>
        <w:tc>
          <w:tcPr>
            <w:tcW w:w="3546" w:type="pct"/>
            <w:tcBorders>
              <w:top w:val="single" w:sz="4" w:space="0" w:color="999999"/>
              <w:bottom w:val="single" w:sz="4" w:space="0" w:color="999999"/>
            </w:tcBorders>
          </w:tcPr>
          <w:p w14:paraId="2100973B" w14:textId="77777777" w:rsidR="00CA7306" w:rsidRDefault="00CA7306" w:rsidP="00CA7306">
            <w:pPr>
              <w:pStyle w:val="Tabletextbullets"/>
            </w:pPr>
            <w:r w:rsidRPr="00CA7306">
              <w:t>The experience of migrants in England: their relations with the authorities and the existing population</w:t>
            </w:r>
            <w:r>
              <w:t>.</w:t>
            </w:r>
          </w:p>
          <w:p w14:paraId="2EB666F6" w14:textId="77777777" w:rsidR="00CA7306" w:rsidRDefault="00CA7306" w:rsidP="00CA7306">
            <w:pPr>
              <w:pStyle w:val="Tabletextbullets"/>
            </w:pPr>
            <w:r w:rsidRPr="00CA7306">
              <w:t>The impact of migrants in England, including culture, trade, industry and agriculture</w:t>
            </w:r>
            <w:r>
              <w:t xml:space="preserve">. </w:t>
            </w:r>
          </w:p>
        </w:tc>
      </w:tr>
      <w:tr w:rsidR="00760002" w:rsidRPr="002B4ED0" w14:paraId="2FCA12D7" w14:textId="77777777" w:rsidTr="002E0A54">
        <w:trPr>
          <w:cantSplit/>
          <w:trHeight w:val="400"/>
        </w:trPr>
        <w:tc>
          <w:tcPr>
            <w:tcW w:w="331" w:type="pct"/>
            <w:tcBorders>
              <w:top w:val="single" w:sz="4" w:space="0" w:color="999999"/>
              <w:bottom w:val="single" w:sz="4" w:space="0" w:color="999999"/>
            </w:tcBorders>
            <w:shd w:val="clear" w:color="auto" w:fill="auto"/>
          </w:tcPr>
          <w:p w14:paraId="49F86049" w14:textId="77777777" w:rsidR="00760002" w:rsidRPr="00D57ECF" w:rsidRDefault="00760002" w:rsidP="002E0A54">
            <w:pPr>
              <w:pStyle w:val="textbullets"/>
              <w:numPr>
                <w:ilvl w:val="0"/>
                <w:numId w:val="0"/>
              </w:numPr>
              <w:tabs>
                <w:tab w:val="clear" w:pos="964"/>
              </w:tabs>
              <w:spacing w:before="60"/>
              <w:jc w:val="center"/>
              <w:rPr>
                <w:rFonts w:cs="Arial"/>
                <w:szCs w:val="18"/>
              </w:rPr>
            </w:pPr>
            <w:r>
              <w:rPr>
                <w:rFonts w:cs="Arial"/>
                <w:szCs w:val="18"/>
              </w:rPr>
              <w:t>6</w:t>
            </w:r>
          </w:p>
        </w:tc>
        <w:tc>
          <w:tcPr>
            <w:tcW w:w="1123" w:type="pct"/>
            <w:tcBorders>
              <w:top w:val="single" w:sz="4" w:space="0" w:color="999999"/>
              <w:bottom w:val="single" w:sz="4" w:space="0" w:color="999999"/>
            </w:tcBorders>
          </w:tcPr>
          <w:p w14:paraId="5892A3FD" w14:textId="77777777" w:rsidR="00760002" w:rsidRDefault="00760002" w:rsidP="00D83886">
            <w:pPr>
              <w:pStyle w:val="Tabletext"/>
            </w:pPr>
            <w:r w:rsidRPr="00BA636E">
              <w:t>3 Case studies</w:t>
            </w:r>
            <w:r>
              <w:br/>
            </w:r>
          </w:p>
          <w:p w14:paraId="0CAA0817" w14:textId="77777777" w:rsidR="00760002" w:rsidRDefault="00760002" w:rsidP="00D83886">
            <w:pPr>
              <w:pStyle w:val="Tabletext"/>
            </w:pPr>
          </w:p>
          <w:p w14:paraId="72051266" w14:textId="77777777" w:rsidR="00760002" w:rsidRPr="00F93585" w:rsidRDefault="00760002" w:rsidP="00D83886">
            <w:pPr>
              <w:pStyle w:val="Tabletext"/>
              <w:rPr>
                <w:i/>
              </w:rPr>
            </w:pPr>
            <w:r>
              <w:rPr>
                <w:i/>
              </w:rPr>
              <w:t xml:space="preserve">Review </w:t>
            </w:r>
          </w:p>
        </w:tc>
        <w:tc>
          <w:tcPr>
            <w:tcW w:w="3546" w:type="pct"/>
            <w:tcBorders>
              <w:top w:val="single" w:sz="4" w:space="0" w:color="999999"/>
              <w:bottom w:val="single" w:sz="4" w:space="0" w:color="999999"/>
            </w:tcBorders>
          </w:tcPr>
          <w:p w14:paraId="479FCE29" w14:textId="77777777" w:rsidR="00760002" w:rsidRPr="000334CD" w:rsidRDefault="00CA7306" w:rsidP="00D83886">
            <w:pPr>
              <w:pStyle w:val="Tabletextbullets"/>
            </w:pPr>
            <w:r w:rsidRPr="000334CD">
              <w:t>Sandwich and Canterbury in the sixteenth century: the experiences of Flemish and Walloon migrants and their role in the local economy</w:t>
            </w:r>
            <w:r w:rsidR="00760002" w:rsidRPr="000334CD">
              <w:t>.</w:t>
            </w:r>
          </w:p>
          <w:p w14:paraId="58B4E584" w14:textId="77777777" w:rsidR="00760002" w:rsidRPr="000334CD" w:rsidRDefault="00CA7306" w:rsidP="00D83886">
            <w:pPr>
              <w:pStyle w:val="Tabletextbullets"/>
            </w:pPr>
            <w:r w:rsidRPr="000334CD">
              <w:t>The experience of Huguenots in seventeenth century England</w:t>
            </w:r>
            <w:r w:rsidR="00760002" w:rsidRPr="000334CD">
              <w:t>.</w:t>
            </w:r>
          </w:p>
          <w:p w14:paraId="2ED5E500" w14:textId="77777777" w:rsidR="00BC14DA" w:rsidRPr="000334CD" w:rsidRDefault="00BC14DA" w:rsidP="00BC14DA">
            <w:pPr>
              <w:pStyle w:val="Tabletextbullets"/>
              <w:rPr>
                <w:i/>
              </w:rPr>
            </w:pPr>
            <w:r w:rsidRPr="000334CD">
              <w:rPr>
                <w:i/>
              </w:rPr>
              <w:t>How much changed in the context of England, the reasons drawing migrants to England and their experiences?</w:t>
            </w:r>
          </w:p>
          <w:p w14:paraId="5EBF07FD" w14:textId="77777777" w:rsidR="00760002" w:rsidRPr="000334CD" w:rsidRDefault="00760002" w:rsidP="00D83886">
            <w:pPr>
              <w:pStyle w:val="Tabletextbullets"/>
              <w:rPr>
                <w:i/>
              </w:rPr>
            </w:pPr>
            <w:r w:rsidRPr="000334CD">
              <w:rPr>
                <w:i/>
              </w:rPr>
              <w:t xml:space="preserve">How much </w:t>
            </w:r>
            <w:r w:rsidR="00BC14DA" w:rsidRPr="000334CD">
              <w:rPr>
                <w:i/>
              </w:rPr>
              <w:t>impact did migrants have on England,</w:t>
            </w:r>
            <w:r w:rsidRPr="000334CD">
              <w:rPr>
                <w:i/>
              </w:rPr>
              <w:t xml:space="preserve"> c1</w:t>
            </w:r>
            <w:r w:rsidR="00BC14DA" w:rsidRPr="000334CD">
              <w:rPr>
                <w:i/>
              </w:rPr>
              <w:t>50</w:t>
            </w:r>
            <w:r w:rsidRPr="000334CD">
              <w:rPr>
                <w:i/>
              </w:rPr>
              <w:t>0</w:t>
            </w:r>
            <w:r w:rsidR="000334CD">
              <w:rPr>
                <w:i/>
              </w:rPr>
              <w:t>–</w:t>
            </w:r>
            <w:r w:rsidR="00BC14DA" w:rsidRPr="000334CD">
              <w:rPr>
                <w:i/>
              </w:rPr>
              <w:t>c</w:t>
            </w:r>
            <w:r w:rsidRPr="000334CD">
              <w:rPr>
                <w:i/>
              </w:rPr>
              <w:t>1700?</w:t>
            </w:r>
          </w:p>
          <w:p w14:paraId="61A270B1" w14:textId="77777777" w:rsidR="00760002" w:rsidRPr="000334CD" w:rsidRDefault="00760002" w:rsidP="00D83886">
            <w:pPr>
              <w:pStyle w:val="Tabletextbullets"/>
              <w:rPr>
                <w:i/>
              </w:rPr>
            </w:pPr>
            <w:r w:rsidRPr="000334CD">
              <w:rPr>
                <w:i/>
              </w:rPr>
              <w:t>Summary of the influence of key factors on change and continuity in the years c1500</w:t>
            </w:r>
            <w:r w:rsidR="000334CD">
              <w:rPr>
                <w:i/>
              </w:rPr>
              <w:t>–</w:t>
            </w:r>
            <w:r w:rsidR="00BC14DA" w:rsidRPr="000334CD">
              <w:rPr>
                <w:i/>
              </w:rPr>
              <w:t>c</w:t>
            </w:r>
            <w:r w:rsidRPr="000334CD">
              <w:rPr>
                <w:i/>
              </w:rPr>
              <w:t>1700</w:t>
            </w:r>
            <w:r w:rsidR="000334CD">
              <w:rPr>
                <w:i/>
              </w:rPr>
              <w:t>.</w:t>
            </w:r>
          </w:p>
        </w:tc>
      </w:tr>
      <w:tr w:rsidR="00760002" w:rsidRPr="002B4ED0" w14:paraId="55EB213E" w14:textId="77777777" w:rsidTr="002E0A54">
        <w:trPr>
          <w:cantSplit/>
          <w:trHeight w:val="400"/>
        </w:trPr>
        <w:tc>
          <w:tcPr>
            <w:tcW w:w="331" w:type="pct"/>
            <w:vMerge w:val="restart"/>
            <w:tcBorders>
              <w:top w:val="single" w:sz="4" w:space="0" w:color="999999"/>
            </w:tcBorders>
            <w:shd w:val="clear" w:color="auto" w:fill="auto"/>
          </w:tcPr>
          <w:p w14:paraId="76418217" w14:textId="77777777" w:rsidR="00760002" w:rsidRPr="00D57ECF" w:rsidRDefault="00760002" w:rsidP="002E0A54">
            <w:pPr>
              <w:pStyle w:val="textbullets"/>
              <w:numPr>
                <w:ilvl w:val="0"/>
                <w:numId w:val="0"/>
              </w:numPr>
              <w:spacing w:before="60"/>
              <w:jc w:val="center"/>
              <w:rPr>
                <w:rFonts w:cs="Arial"/>
                <w:szCs w:val="18"/>
              </w:rPr>
            </w:pPr>
            <w:r>
              <w:rPr>
                <w:rFonts w:cs="Arial"/>
                <w:szCs w:val="18"/>
              </w:rPr>
              <w:t>7</w:t>
            </w:r>
          </w:p>
        </w:tc>
        <w:tc>
          <w:tcPr>
            <w:tcW w:w="4669" w:type="pct"/>
            <w:gridSpan w:val="2"/>
            <w:tcBorders>
              <w:top w:val="single" w:sz="4" w:space="0" w:color="999999"/>
              <w:bottom w:val="single" w:sz="4" w:space="0" w:color="999999"/>
            </w:tcBorders>
          </w:tcPr>
          <w:p w14:paraId="4A28B134" w14:textId="77777777" w:rsidR="00760002" w:rsidRPr="006C399D" w:rsidRDefault="00760002" w:rsidP="00D83886">
            <w:pPr>
              <w:pStyle w:val="Tabletext"/>
              <w:rPr>
                <w:b/>
              </w:rPr>
            </w:pPr>
            <w:r w:rsidRPr="006C399D">
              <w:rPr>
                <w:b/>
              </w:rPr>
              <w:t xml:space="preserve">c1700–c1900: </w:t>
            </w:r>
            <w:r w:rsidR="00CA7306">
              <w:rPr>
                <w:b/>
              </w:rPr>
              <w:t>Migration</w:t>
            </w:r>
            <w:r w:rsidRPr="006C399D">
              <w:rPr>
                <w:b/>
              </w:rPr>
              <w:t xml:space="preserve"> in eighteenth- and nineteenth-century Britain</w:t>
            </w:r>
          </w:p>
          <w:p w14:paraId="1622F3AE" w14:textId="77777777" w:rsidR="00760002" w:rsidRPr="00557C06" w:rsidRDefault="00760002" w:rsidP="00D83886">
            <w:pPr>
              <w:pStyle w:val="Tabletextbullets"/>
              <w:rPr>
                <w:i/>
                <w:szCs w:val="18"/>
              </w:rPr>
            </w:pPr>
            <w:r w:rsidRPr="00557C06">
              <w:rPr>
                <w:i/>
              </w:rPr>
              <w:t xml:space="preserve">Brief overview of the period: Britain </w:t>
            </w:r>
            <w:r w:rsidR="000C395B">
              <w:rPr>
                <w:i/>
              </w:rPr>
              <w:t>c</w:t>
            </w:r>
            <w:r w:rsidRPr="00557C06">
              <w:rPr>
                <w:i/>
              </w:rPr>
              <w:t>1700</w:t>
            </w:r>
            <w:r w:rsidR="000334CD">
              <w:rPr>
                <w:i/>
              </w:rPr>
              <w:t>–</w:t>
            </w:r>
            <w:r w:rsidR="000C395B">
              <w:rPr>
                <w:i/>
              </w:rPr>
              <w:t>c</w:t>
            </w:r>
            <w:r w:rsidRPr="00557C06">
              <w:rPr>
                <w:i/>
              </w:rPr>
              <w:t>1900.</w:t>
            </w:r>
          </w:p>
        </w:tc>
      </w:tr>
      <w:tr w:rsidR="00760002" w:rsidRPr="002B4ED0" w14:paraId="53E71786" w14:textId="77777777" w:rsidTr="002E0A54">
        <w:trPr>
          <w:cantSplit/>
          <w:trHeight w:val="400"/>
        </w:trPr>
        <w:tc>
          <w:tcPr>
            <w:tcW w:w="331" w:type="pct"/>
            <w:vMerge/>
            <w:tcBorders>
              <w:bottom w:val="single" w:sz="4" w:space="0" w:color="999999"/>
            </w:tcBorders>
            <w:shd w:val="clear" w:color="auto" w:fill="auto"/>
          </w:tcPr>
          <w:p w14:paraId="386728DB" w14:textId="77777777" w:rsidR="00760002" w:rsidRPr="00D57ECF" w:rsidRDefault="00760002" w:rsidP="002E0A54">
            <w:pPr>
              <w:pStyle w:val="textbullets"/>
              <w:numPr>
                <w:ilvl w:val="0"/>
                <w:numId w:val="0"/>
              </w:numPr>
              <w:tabs>
                <w:tab w:val="clear" w:pos="964"/>
              </w:tabs>
              <w:spacing w:before="60"/>
              <w:jc w:val="center"/>
              <w:rPr>
                <w:rFonts w:cs="Arial"/>
                <w:szCs w:val="18"/>
              </w:rPr>
            </w:pPr>
          </w:p>
        </w:tc>
        <w:tc>
          <w:tcPr>
            <w:tcW w:w="1123" w:type="pct"/>
            <w:tcBorders>
              <w:top w:val="single" w:sz="4" w:space="0" w:color="999999"/>
              <w:bottom w:val="single" w:sz="4" w:space="0" w:color="999999"/>
            </w:tcBorders>
          </w:tcPr>
          <w:p w14:paraId="68973186" w14:textId="77777777" w:rsidR="00760002" w:rsidRPr="00BA636E" w:rsidRDefault="00760002" w:rsidP="00D83886">
            <w:pPr>
              <w:pStyle w:val="Tabletext"/>
              <w:rPr>
                <w:rFonts w:cs="Verdana"/>
              </w:rPr>
            </w:pPr>
            <w:r w:rsidRPr="00801850">
              <w:t xml:space="preserve">1 </w:t>
            </w:r>
            <w:r w:rsidR="00CA7306">
              <w:t>The context for migration</w:t>
            </w:r>
          </w:p>
        </w:tc>
        <w:tc>
          <w:tcPr>
            <w:tcW w:w="3546" w:type="pct"/>
            <w:tcBorders>
              <w:top w:val="single" w:sz="4" w:space="0" w:color="999999"/>
              <w:bottom w:val="single" w:sz="4" w:space="0" w:color="999999"/>
            </w:tcBorders>
          </w:tcPr>
          <w:p w14:paraId="0B53C4F7" w14:textId="77777777" w:rsidR="00CA7306" w:rsidRDefault="00CA7306" w:rsidP="00D83886">
            <w:pPr>
              <w:pStyle w:val="Tabletextbullets"/>
            </w:pPr>
            <w:r w:rsidRPr="00CA7306">
              <w:t>Change and continuity in reasons for migration and patterns of settlement, including migrants from Ireland, Europe and the Empire</w:t>
            </w:r>
            <w:r>
              <w:t>.</w:t>
            </w:r>
          </w:p>
          <w:p w14:paraId="27B7DEB2" w14:textId="77777777" w:rsidR="00760002" w:rsidRPr="00F13D3E" w:rsidRDefault="00CA7306" w:rsidP="00D83886">
            <w:pPr>
              <w:pStyle w:val="Tabletextbullets"/>
            </w:pPr>
            <w:r w:rsidRPr="00CA7306">
              <w:t xml:space="preserve">The changing context of British society: changing social structures; the Industrial Revolution; urbanisation; </w:t>
            </w:r>
            <w:r w:rsidR="00973B94">
              <w:t>t</w:t>
            </w:r>
            <w:r w:rsidRPr="00CA7306">
              <w:t xml:space="preserve">ransatlantic </w:t>
            </w:r>
            <w:r w:rsidR="00973B94">
              <w:t>s</w:t>
            </w:r>
            <w:r w:rsidRPr="00CA7306">
              <w:t>lavery; the growth of the British Empire; civil liberties</w:t>
            </w:r>
            <w:r w:rsidR="00760002">
              <w:t>.</w:t>
            </w:r>
          </w:p>
        </w:tc>
      </w:tr>
      <w:tr w:rsidR="00760002" w:rsidRPr="002B4ED0" w14:paraId="1FE3B6A1" w14:textId="77777777" w:rsidTr="002E0A54">
        <w:trPr>
          <w:cantSplit/>
          <w:trHeight w:val="400"/>
        </w:trPr>
        <w:tc>
          <w:tcPr>
            <w:tcW w:w="331" w:type="pct"/>
            <w:tcBorders>
              <w:top w:val="single" w:sz="4" w:space="0" w:color="999999"/>
              <w:bottom w:val="single" w:sz="4" w:space="0" w:color="999999"/>
            </w:tcBorders>
            <w:shd w:val="clear" w:color="auto" w:fill="auto"/>
          </w:tcPr>
          <w:p w14:paraId="637E46BF" w14:textId="77777777" w:rsidR="00760002" w:rsidRPr="00D57ECF" w:rsidRDefault="00760002" w:rsidP="002E0A54">
            <w:pPr>
              <w:pStyle w:val="textbullets"/>
              <w:numPr>
                <w:ilvl w:val="0"/>
                <w:numId w:val="0"/>
              </w:numPr>
              <w:tabs>
                <w:tab w:val="clear" w:pos="964"/>
              </w:tabs>
              <w:spacing w:before="60"/>
              <w:jc w:val="center"/>
              <w:rPr>
                <w:rFonts w:cs="Arial"/>
                <w:szCs w:val="18"/>
              </w:rPr>
            </w:pPr>
            <w:r>
              <w:rPr>
                <w:rFonts w:cs="Arial"/>
                <w:szCs w:val="18"/>
              </w:rPr>
              <w:lastRenderedPageBreak/>
              <w:t>8</w:t>
            </w:r>
          </w:p>
        </w:tc>
        <w:tc>
          <w:tcPr>
            <w:tcW w:w="1123" w:type="pct"/>
            <w:tcBorders>
              <w:top w:val="single" w:sz="4" w:space="0" w:color="999999"/>
              <w:bottom w:val="single" w:sz="4" w:space="0" w:color="999999"/>
            </w:tcBorders>
          </w:tcPr>
          <w:p w14:paraId="7E6CE9C5" w14:textId="77777777" w:rsidR="00760002" w:rsidRPr="00BA636E" w:rsidRDefault="00760002" w:rsidP="00D83886">
            <w:pPr>
              <w:pStyle w:val="Tabletext"/>
              <w:rPr>
                <w:rFonts w:cs="Verdana"/>
              </w:rPr>
            </w:pPr>
            <w:r w:rsidRPr="00BA636E">
              <w:t xml:space="preserve">2 </w:t>
            </w:r>
            <w:r w:rsidR="00CA7306">
              <w:t>The experience and impact of migrants</w:t>
            </w:r>
          </w:p>
        </w:tc>
        <w:tc>
          <w:tcPr>
            <w:tcW w:w="3546" w:type="pct"/>
            <w:tcBorders>
              <w:top w:val="single" w:sz="4" w:space="0" w:color="999999"/>
              <w:bottom w:val="single" w:sz="4" w:space="0" w:color="999999"/>
            </w:tcBorders>
          </w:tcPr>
          <w:p w14:paraId="33512959" w14:textId="77777777" w:rsidR="00760002" w:rsidRDefault="00CA7306" w:rsidP="00D83886">
            <w:pPr>
              <w:pStyle w:val="Tabletextbullets"/>
            </w:pPr>
            <w:r w:rsidRPr="00CA7306">
              <w:t>The experience of migrants in Britain: their relations with the authorities and the existing population. The role of the media</w:t>
            </w:r>
            <w:r w:rsidR="00760002" w:rsidRPr="00E51A4A">
              <w:t>.</w:t>
            </w:r>
          </w:p>
          <w:p w14:paraId="4BABFBB2" w14:textId="77777777" w:rsidR="00760002" w:rsidRPr="008762B7" w:rsidRDefault="00CA7306" w:rsidP="00D83886">
            <w:pPr>
              <w:pStyle w:val="Tabletextbullets"/>
            </w:pPr>
            <w:r w:rsidRPr="00CA7306">
              <w:t>The impact of migrants in Britain, including culture, trade and industry, politics and the urban environment</w:t>
            </w:r>
            <w:r w:rsidR="00760002" w:rsidRPr="00E51A4A">
              <w:t>.</w:t>
            </w:r>
          </w:p>
        </w:tc>
      </w:tr>
      <w:tr w:rsidR="00760002" w:rsidRPr="002B4ED0" w14:paraId="5DEC66D6" w14:textId="77777777" w:rsidTr="002E0A54">
        <w:trPr>
          <w:cantSplit/>
          <w:trHeight w:val="400"/>
        </w:trPr>
        <w:tc>
          <w:tcPr>
            <w:tcW w:w="331" w:type="pct"/>
            <w:tcBorders>
              <w:top w:val="single" w:sz="4" w:space="0" w:color="999999"/>
              <w:bottom w:val="single" w:sz="4" w:space="0" w:color="999999"/>
            </w:tcBorders>
            <w:shd w:val="clear" w:color="auto" w:fill="auto"/>
          </w:tcPr>
          <w:p w14:paraId="7DE20597" w14:textId="77777777" w:rsidR="00760002" w:rsidRPr="00D57ECF" w:rsidRDefault="00760002" w:rsidP="002E0A54">
            <w:pPr>
              <w:pStyle w:val="textbullets"/>
              <w:numPr>
                <w:ilvl w:val="0"/>
                <w:numId w:val="0"/>
              </w:numPr>
              <w:tabs>
                <w:tab w:val="clear" w:pos="964"/>
              </w:tabs>
              <w:spacing w:before="60"/>
              <w:jc w:val="center"/>
              <w:rPr>
                <w:rFonts w:cs="Arial"/>
                <w:szCs w:val="18"/>
              </w:rPr>
            </w:pPr>
            <w:r>
              <w:rPr>
                <w:rFonts w:cs="Arial"/>
                <w:szCs w:val="18"/>
              </w:rPr>
              <w:t>9</w:t>
            </w:r>
          </w:p>
        </w:tc>
        <w:tc>
          <w:tcPr>
            <w:tcW w:w="1123" w:type="pct"/>
            <w:tcBorders>
              <w:top w:val="single" w:sz="4" w:space="0" w:color="999999"/>
              <w:bottom w:val="single" w:sz="4" w:space="0" w:color="999999"/>
            </w:tcBorders>
          </w:tcPr>
          <w:p w14:paraId="62FD8084" w14:textId="77777777" w:rsidR="00760002" w:rsidRDefault="00760002" w:rsidP="00D83886">
            <w:pPr>
              <w:pStyle w:val="Tabletext"/>
            </w:pPr>
            <w:r w:rsidRPr="00BA636E">
              <w:t>3 Case studies</w:t>
            </w:r>
            <w:r w:rsidR="000334CD">
              <w:br/>
            </w:r>
          </w:p>
          <w:p w14:paraId="3238422A" w14:textId="77777777" w:rsidR="00760002" w:rsidRDefault="00760002" w:rsidP="00D83886">
            <w:pPr>
              <w:pStyle w:val="Tabletext"/>
            </w:pPr>
          </w:p>
          <w:p w14:paraId="334F028D" w14:textId="77777777" w:rsidR="00760002" w:rsidRPr="00BA636E" w:rsidRDefault="00760002" w:rsidP="00D83886">
            <w:pPr>
              <w:pStyle w:val="Tabletext"/>
            </w:pPr>
            <w:r>
              <w:rPr>
                <w:i/>
              </w:rPr>
              <w:t>Review</w:t>
            </w:r>
          </w:p>
        </w:tc>
        <w:tc>
          <w:tcPr>
            <w:tcW w:w="3546" w:type="pct"/>
            <w:tcBorders>
              <w:top w:val="single" w:sz="4" w:space="0" w:color="999999"/>
              <w:bottom w:val="single" w:sz="4" w:space="0" w:color="999999"/>
            </w:tcBorders>
          </w:tcPr>
          <w:p w14:paraId="7921A506" w14:textId="77777777" w:rsidR="00760002" w:rsidRPr="000334CD" w:rsidRDefault="00CA7306" w:rsidP="00D83886">
            <w:pPr>
              <w:pStyle w:val="Tabletextbullets"/>
            </w:pPr>
            <w:r w:rsidRPr="000334CD">
              <w:t>Liverpool in the nineteenth century: its role in migration and the experiences of migrants, including Irish migrants</w:t>
            </w:r>
            <w:r w:rsidR="00760002" w:rsidRPr="000334CD">
              <w:t>.</w:t>
            </w:r>
          </w:p>
          <w:p w14:paraId="1AC4D42A" w14:textId="77777777" w:rsidR="00760002" w:rsidRPr="000334CD" w:rsidRDefault="00CA7306" w:rsidP="00D83886">
            <w:pPr>
              <w:pStyle w:val="Tabletextbullets"/>
            </w:pPr>
            <w:r w:rsidRPr="000334CD">
              <w:t>The experience of Jewish migrants in the East End of London in late nineteenth century</w:t>
            </w:r>
            <w:r w:rsidR="00760002" w:rsidRPr="000334CD">
              <w:t>.</w:t>
            </w:r>
          </w:p>
          <w:p w14:paraId="0C0C01D7" w14:textId="77777777" w:rsidR="00BC14DA" w:rsidRPr="000334CD" w:rsidRDefault="00BC14DA" w:rsidP="00BC14DA">
            <w:pPr>
              <w:pStyle w:val="Tabletextbullets"/>
              <w:rPr>
                <w:i/>
              </w:rPr>
            </w:pPr>
            <w:r w:rsidRPr="000334CD">
              <w:rPr>
                <w:i/>
              </w:rPr>
              <w:t>How much changed in the context of Britain, the reasons drawing migrants to Britain and their experiences?</w:t>
            </w:r>
          </w:p>
          <w:p w14:paraId="43AF3985" w14:textId="77777777" w:rsidR="00BC14DA" w:rsidRPr="000334CD" w:rsidRDefault="00BC14DA" w:rsidP="00BC14DA">
            <w:pPr>
              <w:pStyle w:val="Tabletextbullets"/>
              <w:rPr>
                <w:i/>
              </w:rPr>
            </w:pPr>
            <w:r w:rsidRPr="000334CD">
              <w:rPr>
                <w:i/>
              </w:rPr>
              <w:t>How much impact did migrants have on Britain, c1700</w:t>
            </w:r>
            <w:r w:rsidR="000334CD">
              <w:rPr>
                <w:i/>
              </w:rPr>
              <w:t>–</w:t>
            </w:r>
            <w:r w:rsidRPr="000334CD">
              <w:rPr>
                <w:i/>
              </w:rPr>
              <w:t>c1900?</w:t>
            </w:r>
          </w:p>
          <w:p w14:paraId="343E87CC" w14:textId="77777777" w:rsidR="00760002" w:rsidRPr="000334CD" w:rsidRDefault="00760002" w:rsidP="00D83886">
            <w:pPr>
              <w:pStyle w:val="Tabletextbullets"/>
              <w:rPr>
                <w:i/>
              </w:rPr>
            </w:pPr>
            <w:r w:rsidRPr="000334CD">
              <w:rPr>
                <w:i/>
              </w:rPr>
              <w:t>Summary of the influence of key factors on change and continuity in the years c1700</w:t>
            </w:r>
            <w:r w:rsidR="000334CD">
              <w:rPr>
                <w:i/>
              </w:rPr>
              <w:t>–</w:t>
            </w:r>
            <w:r w:rsidRPr="000334CD">
              <w:rPr>
                <w:i/>
              </w:rPr>
              <w:t>c1900</w:t>
            </w:r>
            <w:r w:rsidR="000334CD" w:rsidRPr="000334CD">
              <w:rPr>
                <w:i/>
              </w:rPr>
              <w:t>.</w:t>
            </w:r>
          </w:p>
        </w:tc>
      </w:tr>
      <w:tr w:rsidR="00760002" w:rsidRPr="002B4ED0" w14:paraId="01084FC1" w14:textId="77777777" w:rsidTr="002E0A54">
        <w:trPr>
          <w:cantSplit/>
          <w:trHeight w:val="400"/>
        </w:trPr>
        <w:tc>
          <w:tcPr>
            <w:tcW w:w="331" w:type="pct"/>
            <w:vMerge w:val="restart"/>
            <w:tcBorders>
              <w:top w:val="single" w:sz="4" w:space="0" w:color="999999"/>
            </w:tcBorders>
            <w:shd w:val="clear" w:color="auto" w:fill="auto"/>
          </w:tcPr>
          <w:p w14:paraId="513215C1" w14:textId="77777777" w:rsidR="00760002" w:rsidRPr="00D57ECF" w:rsidRDefault="00760002" w:rsidP="002E0A54">
            <w:pPr>
              <w:pStyle w:val="textbullets"/>
              <w:numPr>
                <w:ilvl w:val="0"/>
                <w:numId w:val="0"/>
              </w:numPr>
              <w:spacing w:before="60"/>
              <w:jc w:val="center"/>
              <w:rPr>
                <w:rFonts w:cs="Arial"/>
                <w:szCs w:val="18"/>
              </w:rPr>
            </w:pPr>
            <w:r>
              <w:rPr>
                <w:rFonts w:cs="Arial"/>
                <w:szCs w:val="18"/>
              </w:rPr>
              <w:t>10</w:t>
            </w:r>
          </w:p>
        </w:tc>
        <w:tc>
          <w:tcPr>
            <w:tcW w:w="4669" w:type="pct"/>
            <w:gridSpan w:val="2"/>
            <w:tcBorders>
              <w:top w:val="single" w:sz="4" w:space="0" w:color="999999"/>
              <w:bottom w:val="single" w:sz="4" w:space="0" w:color="999999"/>
            </w:tcBorders>
          </w:tcPr>
          <w:p w14:paraId="09796A2E" w14:textId="77777777" w:rsidR="00760002" w:rsidRPr="006C399D" w:rsidRDefault="00760002" w:rsidP="00D83886">
            <w:pPr>
              <w:pStyle w:val="Tabletext"/>
              <w:rPr>
                <w:b/>
              </w:rPr>
            </w:pPr>
            <w:r w:rsidRPr="006C399D">
              <w:rPr>
                <w:b/>
              </w:rPr>
              <w:t xml:space="preserve">c1900–present: </w:t>
            </w:r>
            <w:r w:rsidR="0034475E">
              <w:rPr>
                <w:b/>
              </w:rPr>
              <w:t>Migration</w:t>
            </w:r>
            <w:r w:rsidRPr="006C399D">
              <w:rPr>
                <w:b/>
              </w:rPr>
              <w:t xml:space="preserve"> in modern Britain</w:t>
            </w:r>
          </w:p>
          <w:p w14:paraId="11EB0AC1" w14:textId="77777777" w:rsidR="00760002" w:rsidRPr="00557C06" w:rsidRDefault="00760002" w:rsidP="00D83886">
            <w:pPr>
              <w:pStyle w:val="Tabletextbullets"/>
              <w:rPr>
                <w:i/>
                <w:szCs w:val="18"/>
              </w:rPr>
            </w:pPr>
            <w:r w:rsidRPr="00557C06">
              <w:rPr>
                <w:i/>
              </w:rPr>
              <w:t xml:space="preserve">Brief overview of the period: Britain </w:t>
            </w:r>
            <w:r w:rsidR="000C395B">
              <w:rPr>
                <w:i/>
              </w:rPr>
              <w:t>c</w:t>
            </w:r>
            <w:r w:rsidRPr="00557C06">
              <w:rPr>
                <w:i/>
              </w:rPr>
              <w:t>1900 to present.</w:t>
            </w:r>
          </w:p>
        </w:tc>
      </w:tr>
      <w:tr w:rsidR="00760002" w:rsidRPr="002B4ED0" w14:paraId="29624063" w14:textId="77777777" w:rsidTr="002E0A54">
        <w:trPr>
          <w:cantSplit/>
          <w:trHeight w:val="400"/>
        </w:trPr>
        <w:tc>
          <w:tcPr>
            <w:tcW w:w="331" w:type="pct"/>
            <w:vMerge/>
            <w:tcBorders>
              <w:bottom w:val="single" w:sz="4" w:space="0" w:color="999999"/>
            </w:tcBorders>
            <w:shd w:val="clear" w:color="auto" w:fill="auto"/>
          </w:tcPr>
          <w:p w14:paraId="36E85716" w14:textId="77777777" w:rsidR="00760002" w:rsidRPr="00D57ECF" w:rsidRDefault="00760002" w:rsidP="002E0A54">
            <w:pPr>
              <w:pStyle w:val="textbullets"/>
              <w:numPr>
                <w:ilvl w:val="0"/>
                <w:numId w:val="0"/>
              </w:numPr>
              <w:tabs>
                <w:tab w:val="clear" w:pos="964"/>
              </w:tabs>
              <w:spacing w:before="60"/>
              <w:jc w:val="center"/>
              <w:rPr>
                <w:rFonts w:cs="Arial"/>
                <w:szCs w:val="18"/>
              </w:rPr>
            </w:pPr>
          </w:p>
        </w:tc>
        <w:tc>
          <w:tcPr>
            <w:tcW w:w="1123" w:type="pct"/>
            <w:tcBorders>
              <w:top w:val="single" w:sz="4" w:space="0" w:color="999999"/>
              <w:bottom w:val="single" w:sz="4" w:space="0" w:color="999999"/>
            </w:tcBorders>
          </w:tcPr>
          <w:p w14:paraId="0A61B4C6" w14:textId="77777777" w:rsidR="00760002" w:rsidRPr="00BA636E" w:rsidRDefault="00760002" w:rsidP="00D83886">
            <w:pPr>
              <w:pStyle w:val="Tabletext"/>
            </w:pPr>
            <w:r>
              <w:t xml:space="preserve">1 </w:t>
            </w:r>
            <w:r w:rsidR="0034475E">
              <w:t>The context for migration</w:t>
            </w:r>
          </w:p>
        </w:tc>
        <w:tc>
          <w:tcPr>
            <w:tcW w:w="3546" w:type="pct"/>
            <w:tcBorders>
              <w:top w:val="single" w:sz="4" w:space="0" w:color="999999"/>
              <w:bottom w:val="single" w:sz="4" w:space="0" w:color="999999"/>
            </w:tcBorders>
          </w:tcPr>
          <w:p w14:paraId="6160BD56" w14:textId="77777777" w:rsidR="00760002" w:rsidRDefault="0034475E" w:rsidP="00D83886">
            <w:pPr>
              <w:pStyle w:val="Tabletextbullets"/>
            </w:pPr>
            <w:r w:rsidRPr="0034475E">
              <w:t>Change and continuity in reasons for migration and patterns of settlement, including migrants from Ireland, Europe, the British Empire and the Commonwealth; refugees and asylum seekers</w:t>
            </w:r>
            <w:r w:rsidR="00760002">
              <w:t>.</w:t>
            </w:r>
          </w:p>
          <w:p w14:paraId="574C68ED" w14:textId="77777777" w:rsidR="00760002" w:rsidRDefault="0034475E" w:rsidP="00D83886">
            <w:pPr>
              <w:pStyle w:val="Tabletextbullets"/>
            </w:pPr>
            <w:r w:rsidRPr="0034475E">
              <w:t>The changing context of British society: the World Wars; the end of the British Empire, decolonisation and the development of the Commonwealth; EU membership; legislation on immigration and nationality, including the Aliens Act (1905) and British Nationality Acts</w:t>
            </w:r>
            <w:r w:rsidR="00760002">
              <w:t>.</w:t>
            </w:r>
          </w:p>
        </w:tc>
      </w:tr>
      <w:tr w:rsidR="00760002" w:rsidRPr="002B4ED0" w14:paraId="4F37962A" w14:textId="77777777" w:rsidTr="002E0A54">
        <w:trPr>
          <w:cantSplit/>
          <w:trHeight w:val="400"/>
        </w:trPr>
        <w:tc>
          <w:tcPr>
            <w:tcW w:w="331" w:type="pct"/>
            <w:tcBorders>
              <w:top w:val="single" w:sz="4" w:space="0" w:color="999999"/>
              <w:bottom w:val="single" w:sz="4" w:space="0" w:color="999999"/>
            </w:tcBorders>
            <w:shd w:val="clear" w:color="auto" w:fill="auto"/>
          </w:tcPr>
          <w:p w14:paraId="394CEC35"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t>1</w:t>
            </w:r>
            <w:r>
              <w:rPr>
                <w:rFonts w:cs="Arial"/>
                <w:szCs w:val="18"/>
              </w:rPr>
              <w:t>1</w:t>
            </w:r>
          </w:p>
        </w:tc>
        <w:tc>
          <w:tcPr>
            <w:tcW w:w="1123" w:type="pct"/>
            <w:tcBorders>
              <w:top w:val="single" w:sz="4" w:space="0" w:color="999999"/>
              <w:bottom w:val="single" w:sz="4" w:space="0" w:color="999999"/>
            </w:tcBorders>
          </w:tcPr>
          <w:p w14:paraId="570E89B7" w14:textId="77777777" w:rsidR="00760002" w:rsidRPr="00BA636E" w:rsidRDefault="00760002" w:rsidP="00D83886">
            <w:pPr>
              <w:pStyle w:val="Tabletext"/>
            </w:pPr>
            <w:r>
              <w:t xml:space="preserve">2 </w:t>
            </w:r>
            <w:r w:rsidR="0034475E">
              <w:t>The experience and impact of migrants</w:t>
            </w:r>
          </w:p>
        </w:tc>
        <w:tc>
          <w:tcPr>
            <w:tcW w:w="3546" w:type="pct"/>
            <w:tcBorders>
              <w:top w:val="single" w:sz="4" w:space="0" w:color="999999"/>
              <w:bottom w:val="single" w:sz="4" w:space="0" w:color="999999"/>
            </w:tcBorders>
          </w:tcPr>
          <w:p w14:paraId="63C610DD" w14:textId="77777777" w:rsidR="00760002" w:rsidRPr="000766D4" w:rsidRDefault="0034475E" w:rsidP="00D83886">
            <w:pPr>
              <w:pStyle w:val="Tabletextbullets"/>
            </w:pPr>
            <w:r w:rsidRPr="0034475E">
              <w:t>The experience of migrants in Britain: their relations with the authorities and the existing population, including anti-immigration and equal rights movements. The Race Relations Act (1965). The role of the media</w:t>
            </w:r>
            <w:r w:rsidR="00760002">
              <w:t>.</w:t>
            </w:r>
          </w:p>
          <w:p w14:paraId="4081D0E4" w14:textId="77777777" w:rsidR="00760002" w:rsidRPr="000766D4" w:rsidRDefault="0034475E" w:rsidP="00D83886">
            <w:pPr>
              <w:pStyle w:val="Tabletextbullets"/>
            </w:pPr>
            <w:r w:rsidRPr="0034475E">
              <w:t>The impact of migrants in Britain, including culture, politics, the urban environment, public services and the economy</w:t>
            </w:r>
            <w:r w:rsidR="00760002">
              <w:t>.</w:t>
            </w:r>
            <w:r w:rsidR="00760002" w:rsidRPr="000766D4">
              <w:t xml:space="preserve"> </w:t>
            </w:r>
          </w:p>
        </w:tc>
      </w:tr>
      <w:tr w:rsidR="00760002" w:rsidRPr="002B4ED0" w14:paraId="4F278FF5" w14:textId="77777777" w:rsidTr="002E0A54">
        <w:trPr>
          <w:cantSplit/>
          <w:trHeight w:val="400"/>
        </w:trPr>
        <w:tc>
          <w:tcPr>
            <w:tcW w:w="331" w:type="pct"/>
            <w:tcBorders>
              <w:top w:val="single" w:sz="4" w:space="0" w:color="999999"/>
              <w:bottom w:val="single" w:sz="4" w:space="0" w:color="999999"/>
            </w:tcBorders>
            <w:shd w:val="clear" w:color="auto" w:fill="auto"/>
          </w:tcPr>
          <w:p w14:paraId="2288B335"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lastRenderedPageBreak/>
              <w:t>1</w:t>
            </w:r>
            <w:r>
              <w:rPr>
                <w:rFonts w:cs="Arial"/>
                <w:szCs w:val="18"/>
              </w:rPr>
              <w:t>2</w:t>
            </w:r>
          </w:p>
        </w:tc>
        <w:tc>
          <w:tcPr>
            <w:tcW w:w="1123" w:type="pct"/>
            <w:tcBorders>
              <w:top w:val="single" w:sz="4" w:space="0" w:color="999999"/>
              <w:bottom w:val="single" w:sz="4" w:space="0" w:color="999999"/>
            </w:tcBorders>
          </w:tcPr>
          <w:p w14:paraId="714FCBF2" w14:textId="77777777" w:rsidR="00760002" w:rsidRDefault="00760002" w:rsidP="00D83886">
            <w:pPr>
              <w:pStyle w:val="Tabletext"/>
            </w:pPr>
            <w:r w:rsidRPr="00BA636E">
              <w:t>3 Case studies</w:t>
            </w:r>
          </w:p>
          <w:p w14:paraId="1D4FFEFF" w14:textId="77777777" w:rsidR="00760002" w:rsidRDefault="00760002" w:rsidP="00D83886">
            <w:pPr>
              <w:pStyle w:val="Tabletext"/>
            </w:pPr>
          </w:p>
          <w:p w14:paraId="20F64EAF" w14:textId="77777777" w:rsidR="00760002" w:rsidRPr="00BA636E" w:rsidRDefault="00760002" w:rsidP="00D83886">
            <w:pPr>
              <w:pStyle w:val="Tabletext"/>
            </w:pPr>
            <w:r>
              <w:rPr>
                <w:i/>
              </w:rPr>
              <w:t>Review</w:t>
            </w:r>
          </w:p>
        </w:tc>
        <w:tc>
          <w:tcPr>
            <w:tcW w:w="3546" w:type="pct"/>
            <w:tcBorders>
              <w:top w:val="single" w:sz="4" w:space="0" w:color="999999"/>
              <w:bottom w:val="single" w:sz="4" w:space="0" w:color="999999"/>
            </w:tcBorders>
          </w:tcPr>
          <w:p w14:paraId="24356572" w14:textId="77777777" w:rsidR="00760002" w:rsidRPr="000334CD" w:rsidRDefault="0034475E" w:rsidP="00D83886">
            <w:pPr>
              <w:pStyle w:val="Tabletextbullets"/>
            </w:pPr>
            <w:r w:rsidRPr="000334CD">
              <w:t>Bristol in the mid-twentieth century: the experiences of migrants and their impact on society</w:t>
            </w:r>
            <w:r w:rsidR="00760002" w:rsidRPr="000334CD">
              <w:t xml:space="preserve">. </w:t>
            </w:r>
          </w:p>
          <w:p w14:paraId="2F818009" w14:textId="77777777" w:rsidR="00760002" w:rsidRPr="000334CD" w:rsidRDefault="0034475E" w:rsidP="00D83886">
            <w:pPr>
              <w:pStyle w:val="Tabletextbullets"/>
            </w:pPr>
            <w:r w:rsidRPr="000334CD">
              <w:t>The experience of Asian migrants in Leicester from 1945</w:t>
            </w:r>
            <w:r w:rsidR="00760002" w:rsidRPr="000334CD">
              <w:t>.</w:t>
            </w:r>
          </w:p>
          <w:p w14:paraId="1619A6E6" w14:textId="77777777" w:rsidR="00BC14DA" w:rsidRPr="000334CD" w:rsidRDefault="00BC14DA" w:rsidP="00BC14DA">
            <w:pPr>
              <w:pStyle w:val="Tabletextbullets"/>
              <w:rPr>
                <w:i/>
              </w:rPr>
            </w:pPr>
            <w:r w:rsidRPr="000334CD">
              <w:rPr>
                <w:i/>
              </w:rPr>
              <w:t>Summary of the influence of key factors on change and continuity in the years c1900</w:t>
            </w:r>
            <w:r w:rsidR="000334CD" w:rsidRPr="000334CD">
              <w:rPr>
                <w:i/>
              </w:rPr>
              <w:t>–</w:t>
            </w:r>
            <w:r w:rsidRPr="000334CD">
              <w:rPr>
                <w:i/>
              </w:rPr>
              <w:t>present day</w:t>
            </w:r>
            <w:r w:rsidR="000334CD" w:rsidRPr="000334CD">
              <w:rPr>
                <w:i/>
              </w:rPr>
              <w:t>.</w:t>
            </w:r>
          </w:p>
          <w:p w14:paraId="71247FEC" w14:textId="77777777" w:rsidR="00BC14DA" w:rsidRPr="000334CD" w:rsidRDefault="00BC14DA" w:rsidP="00BC14DA">
            <w:pPr>
              <w:pStyle w:val="Tabletextbullets"/>
              <w:rPr>
                <w:i/>
              </w:rPr>
            </w:pPr>
            <w:r w:rsidRPr="000334CD">
              <w:rPr>
                <w:i/>
              </w:rPr>
              <w:t>How much changed in the context of Britain, the reasons drawing migrants to Britain and their experiences?</w:t>
            </w:r>
          </w:p>
          <w:p w14:paraId="204C6DAF" w14:textId="77777777" w:rsidR="00BC14DA" w:rsidRPr="000334CD" w:rsidRDefault="00BC14DA" w:rsidP="00BC14DA">
            <w:pPr>
              <w:pStyle w:val="Tabletextbullets"/>
              <w:rPr>
                <w:i/>
              </w:rPr>
            </w:pPr>
            <w:r w:rsidRPr="000334CD">
              <w:rPr>
                <w:i/>
              </w:rPr>
              <w:t>How much impact did migrants have on Britain, c1900</w:t>
            </w:r>
            <w:r w:rsidR="000334CD" w:rsidRPr="000334CD">
              <w:rPr>
                <w:i/>
              </w:rPr>
              <w:t>–</w:t>
            </w:r>
            <w:r w:rsidRPr="000334CD">
              <w:rPr>
                <w:i/>
              </w:rPr>
              <w:t>present day?</w:t>
            </w:r>
          </w:p>
          <w:p w14:paraId="2F188A3F" w14:textId="77777777" w:rsidR="00760002" w:rsidRPr="000334CD" w:rsidRDefault="00760002" w:rsidP="00D83886">
            <w:pPr>
              <w:pStyle w:val="Tabletextbullets"/>
              <w:rPr>
                <w:i/>
              </w:rPr>
            </w:pPr>
            <w:r w:rsidRPr="000334CD">
              <w:rPr>
                <w:i/>
              </w:rPr>
              <w:t xml:space="preserve">How much has changed in </w:t>
            </w:r>
            <w:r w:rsidR="00BC14DA" w:rsidRPr="000334CD">
              <w:rPr>
                <w:i/>
              </w:rPr>
              <w:t>the reasons pulling migrants to Britain and in their experiences,</w:t>
            </w:r>
            <w:r w:rsidRPr="000334CD">
              <w:rPr>
                <w:i/>
              </w:rPr>
              <w:t xml:space="preserve"> c</w:t>
            </w:r>
            <w:r w:rsidR="00BC14DA" w:rsidRPr="000334CD">
              <w:rPr>
                <w:i/>
              </w:rPr>
              <w:t>800</w:t>
            </w:r>
            <w:r w:rsidR="000334CD" w:rsidRPr="000334CD">
              <w:rPr>
                <w:i/>
              </w:rPr>
              <w:t>–</w:t>
            </w:r>
            <w:r w:rsidRPr="000334CD">
              <w:rPr>
                <w:i/>
              </w:rPr>
              <w:t>present?</w:t>
            </w:r>
          </w:p>
          <w:p w14:paraId="5B7C6B27" w14:textId="77777777" w:rsidR="00760002" w:rsidRPr="000334CD" w:rsidRDefault="00BC14DA" w:rsidP="00BC14DA">
            <w:pPr>
              <w:pStyle w:val="Tabletextbullets"/>
              <w:rPr>
                <w:i/>
              </w:rPr>
            </w:pPr>
            <w:r w:rsidRPr="000334CD">
              <w:rPr>
                <w:i/>
              </w:rPr>
              <w:t>How much have migrants changed Britain in the period c800</w:t>
            </w:r>
            <w:r w:rsidR="000334CD" w:rsidRPr="000334CD">
              <w:rPr>
                <w:i/>
              </w:rPr>
              <w:t>–</w:t>
            </w:r>
            <w:r w:rsidRPr="000334CD">
              <w:rPr>
                <w:i/>
              </w:rPr>
              <w:t>present?</w:t>
            </w:r>
          </w:p>
        </w:tc>
      </w:tr>
      <w:tr w:rsidR="00760002" w:rsidRPr="002B4ED0" w14:paraId="3F694F47" w14:textId="77777777" w:rsidTr="002E0A54">
        <w:trPr>
          <w:cantSplit/>
          <w:trHeight w:val="400"/>
        </w:trPr>
        <w:tc>
          <w:tcPr>
            <w:tcW w:w="331" w:type="pct"/>
            <w:tcBorders>
              <w:top w:val="single" w:sz="4" w:space="0" w:color="999999"/>
              <w:bottom w:val="single" w:sz="4" w:space="0" w:color="999999"/>
            </w:tcBorders>
            <w:shd w:val="clear" w:color="auto" w:fill="auto"/>
          </w:tcPr>
          <w:p w14:paraId="3BCA8D36"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t>14</w:t>
            </w:r>
          </w:p>
        </w:tc>
        <w:tc>
          <w:tcPr>
            <w:tcW w:w="1123" w:type="pct"/>
            <w:vMerge w:val="restart"/>
            <w:tcBorders>
              <w:top w:val="single" w:sz="4" w:space="0" w:color="999999"/>
            </w:tcBorders>
          </w:tcPr>
          <w:p w14:paraId="649816F9" w14:textId="77777777" w:rsidR="00760002" w:rsidRPr="006C399D" w:rsidRDefault="0034475E" w:rsidP="00D83886">
            <w:pPr>
              <w:pStyle w:val="Tabletext"/>
              <w:rPr>
                <w:b/>
              </w:rPr>
            </w:pPr>
            <w:r>
              <w:rPr>
                <w:b/>
              </w:rPr>
              <w:t>Notting Hill</w:t>
            </w:r>
            <w:r w:rsidR="00760002" w:rsidRPr="006C399D">
              <w:rPr>
                <w:b/>
              </w:rPr>
              <w:t xml:space="preserve">, </w:t>
            </w:r>
            <w:r>
              <w:rPr>
                <w:b/>
              </w:rPr>
              <w:t>c</w:t>
            </w:r>
            <w:r w:rsidR="00760002" w:rsidRPr="006C399D">
              <w:rPr>
                <w:b/>
              </w:rPr>
              <w:t>19</w:t>
            </w:r>
            <w:r>
              <w:rPr>
                <w:b/>
              </w:rPr>
              <w:t>48</w:t>
            </w:r>
            <w:r w:rsidR="00760002" w:rsidRPr="006C399D">
              <w:rPr>
                <w:b/>
              </w:rPr>
              <w:t>–</w:t>
            </w:r>
            <w:r>
              <w:rPr>
                <w:b/>
              </w:rPr>
              <w:t>c1970</w:t>
            </w:r>
          </w:p>
        </w:tc>
        <w:tc>
          <w:tcPr>
            <w:tcW w:w="3546" w:type="pct"/>
            <w:tcBorders>
              <w:top w:val="single" w:sz="4" w:space="0" w:color="999999"/>
              <w:bottom w:val="single" w:sz="4" w:space="0" w:color="999999"/>
            </w:tcBorders>
          </w:tcPr>
          <w:p w14:paraId="39B63DCD" w14:textId="77777777" w:rsidR="00760002" w:rsidRPr="009634EE" w:rsidRDefault="00760002" w:rsidP="00D83886">
            <w:pPr>
              <w:pStyle w:val="textbullets"/>
              <w:numPr>
                <w:ilvl w:val="0"/>
                <w:numId w:val="0"/>
              </w:numPr>
              <w:ind w:left="360" w:hanging="360"/>
              <w:rPr>
                <w:rFonts w:cs="Arial"/>
                <w:i/>
              </w:rPr>
            </w:pPr>
            <w:r w:rsidRPr="009634EE">
              <w:rPr>
                <w:rFonts w:cs="Arial"/>
                <w:i/>
              </w:rPr>
              <w:t>Introduction to historic environment</w:t>
            </w:r>
          </w:p>
          <w:p w14:paraId="1F6DB82B" w14:textId="77777777" w:rsidR="00760002" w:rsidRPr="009634EE" w:rsidRDefault="0034475E" w:rsidP="00D83886">
            <w:pPr>
              <w:pStyle w:val="Tabletextbullets"/>
            </w:pPr>
            <w:r w:rsidRPr="0034475E">
              <w:t>The local context of Notting Hill. The reasons for Caribbean migration to the area. The problems of housing: houses of multiple occupation (HMOs), overcrowding and slum landlords, e.g. Peter Rachman. Bruce Kenrick and the Notting Hill Housing Trust. The development of Portobello Road market</w:t>
            </w:r>
            <w:r w:rsidR="00760002" w:rsidRPr="009634EE">
              <w:t>.</w:t>
            </w:r>
            <w:r w:rsidR="00760002">
              <w:t xml:space="preserve"> </w:t>
            </w:r>
          </w:p>
          <w:p w14:paraId="4F3F032A" w14:textId="77777777" w:rsidR="00760002" w:rsidRPr="00557C06" w:rsidRDefault="00760002" w:rsidP="00D83886">
            <w:pPr>
              <w:pStyle w:val="Tabletextbullets"/>
              <w:rPr>
                <w:i/>
              </w:rPr>
            </w:pPr>
            <w:r w:rsidRPr="00557C06">
              <w:rPr>
                <w:i/>
              </w:rPr>
              <w:t xml:space="preserve">Types of source relevant to this option. </w:t>
            </w:r>
          </w:p>
        </w:tc>
      </w:tr>
      <w:tr w:rsidR="00760002" w:rsidRPr="002B4ED0" w14:paraId="722BDC32" w14:textId="77777777" w:rsidTr="002E0A54">
        <w:trPr>
          <w:cantSplit/>
          <w:trHeight w:val="400"/>
        </w:trPr>
        <w:tc>
          <w:tcPr>
            <w:tcW w:w="331" w:type="pct"/>
            <w:tcBorders>
              <w:top w:val="single" w:sz="4" w:space="0" w:color="999999"/>
              <w:bottom w:val="single" w:sz="4" w:space="0" w:color="999999"/>
            </w:tcBorders>
            <w:shd w:val="clear" w:color="auto" w:fill="auto"/>
          </w:tcPr>
          <w:p w14:paraId="46133BA5"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t>15</w:t>
            </w:r>
          </w:p>
        </w:tc>
        <w:tc>
          <w:tcPr>
            <w:tcW w:w="1123" w:type="pct"/>
            <w:vMerge/>
          </w:tcPr>
          <w:p w14:paraId="6AE41583" w14:textId="77777777" w:rsidR="00760002" w:rsidRPr="00BA636E" w:rsidRDefault="00760002" w:rsidP="00D83886">
            <w:pPr>
              <w:pStyle w:val="Text0"/>
              <w:ind w:left="222"/>
              <w:rPr>
                <w:rFonts w:ascii="Verdana" w:hAnsi="Verdana" w:cs="Verdana"/>
                <w:sz w:val="20"/>
                <w:szCs w:val="20"/>
              </w:rPr>
            </w:pPr>
          </w:p>
        </w:tc>
        <w:tc>
          <w:tcPr>
            <w:tcW w:w="3546" w:type="pct"/>
            <w:tcBorders>
              <w:top w:val="single" w:sz="4" w:space="0" w:color="999999"/>
              <w:bottom w:val="single" w:sz="4" w:space="0" w:color="999999"/>
            </w:tcBorders>
          </w:tcPr>
          <w:p w14:paraId="4B1A23FF" w14:textId="77777777" w:rsidR="00760002" w:rsidRPr="009634EE" w:rsidRDefault="0034475E" w:rsidP="00D83886">
            <w:pPr>
              <w:pStyle w:val="Tabletextbullets"/>
            </w:pPr>
            <w:r w:rsidRPr="0034475E">
              <w:t>The influence of Caribbean cultures on the area, in particular the development of shops, markets, cafes and restaurants, shebeens, nightclubs and entertainment which featured Caribbean food and music. The development of All Saints Road. Mutual self-help organisations, e.g. ‘pardner’ schemes</w:t>
            </w:r>
            <w:r w:rsidR="00760002" w:rsidRPr="009634EE">
              <w:t>.</w:t>
            </w:r>
          </w:p>
          <w:p w14:paraId="44E3CC92" w14:textId="77777777" w:rsidR="00760002" w:rsidRPr="00557C06" w:rsidRDefault="00760002" w:rsidP="00D83886">
            <w:pPr>
              <w:pStyle w:val="Tabletextbullets"/>
              <w:rPr>
                <w:i/>
              </w:rPr>
            </w:pPr>
            <w:r w:rsidRPr="00557C06">
              <w:rPr>
                <w:i/>
              </w:rPr>
              <w:t>Source utility</w:t>
            </w:r>
            <w:r w:rsidR="00545E3A">
              <w:rPr>
                <w:i/>
              </w:rPr>
              <w:t>.</w:t>
            </w:r>
          </w:p>
        </w:tc>
      </w:tr>
      <w:tr w:rsidR="00760002" w:rsidRPr="002B4ED0" w14:paraId="0755FDDF" w14:textId="77777777" w:rsidTr="002E0A54">
        <w:trPr>
          <w:cantSplit/>
          <w:trHeight w:val="400"/>
        </w:trPr>
        <w:tc>
          <w:tcPr>
            <w:tcW w:w="331" w:type="pct"/>
            <w:tcBorders>
              <w:top w:val="single" w:sz="4" w:space="0" w:color="999999"/>
              <w:bottom w:val="single" w:sz="4" w:space="0" w:color="999999"/>
            </w:tcBorders>
            <w:shd w:val="clear" w:color="auto" w:fill="auto"/>
          </w:tcPr>
          <w:p w14:paraId="17AB5E3B"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t>16</w:t>
            </w:r>
          </w:p>
        </w:tc>
        <w:tc>
          <w:tcPr>
            <w:tcW w:w="1123" w:type="pct"/>
            <w:vMerge/>
          </w:tcPr>
          <w:p w14:paraId="244ABED9" w14:textId="77777777" w:rsidR="00760002" w:rsidRPr="00BA636E" w:rsidRDefault="00760002" w:rsidP="00D83886">
            <w:pPr>
              <w:pStyle w:val="Text0"/>
              <w:ind w:firstLine="6"/>
              <w:rPr>
                <w:rFonts w:ascii="Verdana" w:hAnsi="Verdana" w:cs="Verdana"/>
                <w:sz w:val="20"/>
                <w:szCs w:val="20"/>
              </w:rPr>
            </w:pPr>
          </w:p>
        </w:tc>
        <w:tc>
          <w:tcPr>
            <w:tcW w:w="3546" w:type="pct"/>
            <w:tcBorders>
              <w:top w:val="single" w:sz="4" w:space="0" w:color="999999"/>
              <w:bottom w:val="single" w:sz="4" w:space="0" w:color="999999"/>
            </w:tcBorders>
            <w:vAlign w:val="center"/>
          </w:tcPr>
          <w:p w14:paraId="62885443" w14:textId="77777777" w:rsidR="00760002" w:rsidRPr="00197B95" w:rsidRDefault="0034475E" w:rsidP="00D83886">
            <w:pPr>
              <w:pStyle w:val="Tabletextbullets"/>
            </w:pPr>
            <w:r w:rsidRPr="0034475E">
              <w:t>Racism and policing. The Notting Hill Riots (1958). The murder of Kelso Cochrane and the reaction of the local community. The impact of anti-immigrant groups, including Oswald Mosley’s Union Movement and his 1959 election campaign</w:t>
            </w:r>
            <w:r w:rsidR="00760002" w:rsidRPr="00197B95">
              <w:t xml:space="preserve">. </w:t>
            </w:r>
          </w:p>
          <w:p w14:paraId="2315687B" w14:textId="77777777" w:rsidR="00760002" w:rsidRPr="00557C06" w:rsidRDefault="00760002" w:rsidP="00D83886">
            <w:pPr>
              <w:pStyle w:val="Tabletextbullets"/>
              <w:rPr>
                <w:i/>
              </w:rPr>
            </w:pPr>
            <w:r>
              <w:rPr>
                <w:i/>
              </w:rPr>
              <w:t>F</w:t>
            </w:r>
            <w:r w:rsidRPr="00557C06">
              <w:rPr>
                <w:i/>
              </w:rPr>
              <w:t>ollowing up a source</w:t>
            </w:r>
            <w:r w:rsidR="00545E3A">
              <w:rPr>
                <w:i/>
              </w:rPr>
              <w:t>.</w:t>
            </w:r>
          </w:p>
        </w:tc>
      </w:tr>
      <w:tr w:rsidR="00760002" w:rsidRPr="002B4ED0" w14:paraId="31C8955B" w14:textId="77777777" w:rsidTr="002E0A54">
        <w:trPr>
          <w:cantSplit/>
          <w:trHeight w:val="400"/>
        </w:trPr>
        <w:tc>
          <w:tcPr>
            <w:tcW w:w="331" w:type="pct"/>
            <w:tcBorders>
              <w:top w:val="single" w:sz="4" w:space="0" w:color="999999"/>
              <w:bottom w:val="single" w:sz="4" w:space="0" w:color="999999"/>
            </w:tcBorders>
            <w:shd w:val="clear" w:color="auto" w:fill="auto"/>
          </w:tcPr>
          <w:p w14:paraId="08F8F68F"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lastRenderedPageBreak/>
              <w:t>17</w:t>
            </w:r>
          </w:p>
        </w:tc>
        <w:tc>
          <w:tcPr>
            <w:tcW w:w="1123" w:type="pct"/>
            <w:vMerge/>
          </w:tcPr>
          <w:p w14:paraId="5217754F" w14:textId="77777777" w:rsidR="00760002" w:rsidRPr="00D57ECF" w:rsidRDefault="00760002" w:rsidP="00D83886">
            <w:pPr>
              <w:pStyle w:val="textbullets"/>
              <w:numPr>
                <w:ilvl w:val="0"/>
                <w:numId w:val="0"/>
              </w:numPr>
              <w:tabs>
                <w:tab w:val="clear" w:pos="964"/>
              </w:tabs>
              <w:spacing w:before="60" w:line="240" w:lineRule="auto"/>
              <w:ind w:left="289" w:right="6"/>
              <w:rPr>
                <w:rFonts w:cs="Arial"/>
                <w:szCs w:val="18"/>
              </w:rPr>
            </w:pPr>
          </w:p>
        </w:tc>
        <w:tc>
          <w:tcPr>
            <w:tcW w:w="3546" w:type="pct"/>
            <w:tcBorders>
              <w:top w:val="single" w:sz="4" w:space="0" w:color="999999"/>
              <w:bottom w:val="single" w:sz="4" w:space="0" w:color="999999"/>
            </w:tcBorders>
            <w:vAlign w:val="center"/>
          </w:tcPr>
          <w:p w14:paraId="68FC3BBA" w14:textId="77777777" w:rsidR="00760002" w:rsidRPr="00757B6F" w:rsidRDefault="0034475E" w:rsidP="00D83886">
            <w:pPr>
              <w:pStyle w:val="Tabletextbullets"/>
            </w:pPr>
            <w:r w:rsidRPr="0034475E">
              <w:t xml:space="preserve">Black activism in the Notting Hill area. Claudia Jones and the </w:t>
            </w:r>
            <w:r w:rsidRPr="0034475E">
              <w:rPr>
                <w:i/>
                <w:iCs/>
              </w:rPr>
              <w:t>West Indian Gazette</w:t>
            </w:r>
            <w:r w:rsidRPr="0034475E">
              <w:t>. The 1959 Caribbean Carnival and the later development of the Notting Hill Carnival. Frank Crichlow and the Mangrove Restaurant. The British Black Panthers. The ‘Mangrove Nine’</w:t>
            </w:r>
            <w:r w:rsidR="00760002" w:rsidRPr="00757B6F">
              <w:t xml:space="preserve">. </w:t>
            </w:r>
          </w:p>
          <w:p w14:paraId="2F8C3B38" w14:textId="77777777" w:rsidR="00760002" w:rsidRPr="00557C06" w:rsidRDefault="00760002" w:rsidP="00D83886">
            <w:pPr>
              <w:pStyle w:val="Tabletextbullets"/>
              <w:rPr>
                <w:i/>
              </w:rPr>
            </w:pPr>
            <w:r w:rsidRPr="00557C06">
              <w:rPr>
                <w:i/>
              </w:rPr>
              <w:t>Source utility</w:t>
            </w:r>
            <w:r w:rsidR="00545E3A">
              <w:rPr>
                <w:i/>
              </w:rPr>
              <w:t>.</w:t>
            </w:r>
          </w:p>
        </w:tc>
      </w:tr>
      <w:tr w:rsidR="00760002" w:rsidRPr="002B4ED0" w14:paraId="221880BD" w14:textId="77777777" w:rsidTr="002E0A54">
        <w:trPr>
          <w:cantSplit/>
          <w:trHeight w:val="400"/>
        </w:trPr>
        <w:tc>
          <w:tcPr>
            <w:tcW w:w="331" w:type="pct"/>
            <w:tcBorders>
              <w:top w:val="single" w:sz="4" w:space="0" w:color="999999"/>
            </w:tcBorders>
            <w:shd w:val="clear" w:color="auto" w:fill="auto"/>
          </w:tcPr>
          <w:p w14:paraId="77169EDE" w14:textId="77777777" w:rsidR="00760002" w:rsidRPr="00D57ECF" w:rsidRDefault="00760002" w:rsidP="002E0A54">
            <w:pPr>
              <w:pStyle w:val="textbullets"/>
              <w:numPr>
                <w:ilvl w:val="0"/>
                <w:numId w:val="0"/>
              </w:numPr>
              <w:tabs>
                <w:tab w:val="clear" w:pos="964"/>
              </w:tabs>
              <w:spacing w:before="60"/>
              <w:jc w:val="center"/>
              <w:rPr>
                <w:rFonts w:cs="Arial"/>
                <w:szCs w:val="18"/>
              </w:rPr>
            </w:pPr>
            <w:r w:rsidRPr="00D57ECF">
              <w:rPr>
                <w:rFonts w:cs="Arial"/>
                <w:szCs w:val="18"/>
              </w:rPr>
              <w:t>18</w:t>
            </w:r>
          </w:p>
        </w:tc>
        <w:tc>
          <w:tcPr>
            <w:tcW w:w="1123" w:type="pct"/>
            <w:vMerge/>
          </w:tcPr>
          <w:p w14:paraId="39D9B08C" w14:textId="77777777" w:rsidR="00760002" w:rsidRPr="00D57ECF" w:rsidRDefault="00760002" w:rsidP="00D83886">
            <w:pPr>
              <w:pStyle w:val="textbullets"/>
              <w:numPr>
                <w:ilvl w:val="0"/>
                <w:numId w:val="0"/>
              </w:numPr>
              <w:tabs>
                <w:tab w:val="clear" w:pos="964"/>
              </w:tabs>
              <w:spacing w:before="60" w:line="240" w:lineRule="auto"/>
              <w:ind w:left="289" w:right="6"/>
              <w:rPr>
                <w:rFonts w:cs="Arial"/>
                <w:szCs w:val="18"/>
              </w:rPr>
            </w:pPr>
          </w:p>
        </w:tc>
        <w:tc>
          <w:tcPr>
            <w:tcW w:w="3546" w:type="pct"/>
            <w:tcBorders>
              <w:top w:val="single" w:sz="4" w:space="0" w:color="999999"/>
            </w:tcBorders>
            <w:vAlign w:val="center"/>
          </w:tcPr>
          <w:p w14:paraId="6F56B51C" w14:textId="77777777" w:rsidR="00760002" w:rsidRPr="00757B6F" w:rsidRDefault="0034475E" w:rsidP="00D83886">
            <w:pPr>
              <w:pStyle w:val="Tabletextbullets"/>
            </w:pPr>
            <w:r w:rsidRPr="0034475E">
              <w:t>The national and regional context: Britain after the Second World War, reconstruction and demand for labour; the connection to the British Empire and Commonwealth. The ‘Swinging Sixties’. Poverty in London. Policing in London</w:t>
            </w:r>
            <w:r w:rsidR="00760002" w:rsidRPr="00757B6F">
              <w:t xml:space="preserve">. </w:t>
            </w:r>
          </w:p>
          <w:p w14:paraId="6C6EF399" w14:textId="77777777" w:rsidR="00760002" w:rsidRDefault="00760002" w:rsidP="00D83886">
            <w:pPr>
              <w:pStyle w:val="Tabletextbullets"/>
              <w:rPr>
                <w:rFonts w:cs="Verdana"/>
                <w:i/>
              </w:rPr>
            </w:pPr>
            <w:r>
              <w:rPr>
                <w:i/>
              </w:rPr>
              <w:t>F</w:t>
            </w:r>
            <w:r w:rsidRPr="00557C06">
              <w:rPr>
                <w:i/>
              </w:rPr>
              <w:t>ollowing up a source</w:t>
            </w:r>
            <w:r w:rsidR="00545E3A">
              <w:rPr>
                <w:i/>
              </w:rPr>
              <w:t>.</w:t>
            </w:r>
          </w:p>
          <w:p w14:paraId="77841B4E" w14:textId="77777777" w:rsidR="00760002" w:rsidRPr="00AB742F" w:rsidRDefault="00760002" w:rsidP="00AB742F">
            <w:pPr>
              <w:pStyle w:val="Tabletextbullets"/>
              <w:rPr>
                <w:rFonts w:cs="Verdana"/>
                <w:i/>
              </w:rPr>
            </w:pPr>
            <w:r w:rsidRPr="00AB742F">
              <w:rPr>
                <w:rFonts w:cs="Verdana"/>
                <w:i/>
              </w:rPr>
              <w:t xml:space="preserve">Review and assessment of </w:t>
            </w:r>
            <w:r w:rsidR="0034475E">
              <w:rPr>
                <w:i/>
              </w:rPr>
              <w:t>Migrants</w:t>
            </w:r>
            <w:r w:rsidR="00AB742F" w:rsidRPr="00AB742F">
              <w:rPr>
                <w:i/>
              </w:rPr>
              <w:t xml:space="preserve"> in Britain, c</w:t>
            </w:r>
            <w:r w:rsidR="0034475E">
              <w:rPr>
                <w:i/>
              </w:rPr>
              <w:t>80</w:t>
            </w:r>
            <w:r w:rsidR="00AB742F" w:rsidRPr="00AB742F">
              <w:rPr>
                <w:i/>
              </w:rPr>
              <w:t xml:space="preserve">0–present and </w:t>
            </w:r>
            <w:r w:rsidR="0034475E">
              <w:rPr>
                <w:i/>
              </w:rPr>
              <w:t>Notting Hill</w:t>
            </w:r>
            <w:r w:rsidR="00AB742F" w:rsidRPr="00AB742F">
              <w:rPr>
                <w:i/>
                <w:szCs w:val="18"/>
              </w:rPr>
              <w:t xml:space="preserve">, </w:t>
            </w:r>
            <w:r w:rsidR="0034475E">
              <w:rPr>
                <w:i/>
                <w:szCs w:val="18"/>
              </w:rPr>
              <w:t>c</w:t>
            </w:r>
            <w:r w:rsidR="00AB742F" w:rsidRPr="00AB742F">
              <w:rPr>
                <w:i/>
                <w:szCs w:val="18"/>
              </w:rPr>
              <w:t>19</w:t>
            </w:r>
            <w:r w:rsidR="0034475E">
              <w:rPr>
                <w:i/>
                <w:szCs w:val="18"/>
              </w:rPr>
              <w:t>48</w:t>
            </w:r>
            <w:r w:rsidR="00AB742F" w:rsidRPr="00AB742F">
              <w:rPr>
                <w:i/>
                <w:szCs w:val="18"/>
              </w:rPr>
              <w:t>–</w:t>
            </w:r>
            <w:r w:rsidR="0034475E">
              <w:rPr>
                <w:i/>
                <w:szCs w:val="18"/>
              </w:rPr>
              <w:t>c1970</w:t>
            </w:r>
            <w:r w:rsidR="00545E3A">
              <w:rPr>
                <w:i/>
                <w:szCs w:val="18"/>
              </w:rPr>
              <w:t>.</w:t>
            </w:r>
          </w:p>
        </w:tc>
      </w:tr>
    </w:tbl>
    <w:p w14:paraId="210FA0D0" w14:textId="77777777" w:rsidR="00760002" w:rsidRDefault="00760002" w:rsidP="00760002">
      <w:pPr>
        <w:pStyle w:val="text"/>
      </w:pPr>
    </w:p>
    <w:sectPr w:rsidR="00760002" w:rsidSect="00316446">
      <w:headerReference w:type="even" r:id="rId16"/>
      <w:pgSz w:w="16840" w:h="11900" w:orient="landscape" w:code="9"/>
      <w:pgMar w:top="1418" w:right="1418" w:bottom="1418" w:left="1134"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61C1F" w14:textId="77777777" w:rsidR="001617C7" w:rsidRDefault="001617C7">
      <w:r>
        <w:separator/>
      </w:r>
    </w:p>
  </w:endnote>
  <w:endnote w:type="continuationSeparator" w:id="0">
    <w:p w14:paraId="3E473EBA" w14:textId="77777777" w:rsidR="001617C7" w:rsidRDefault="00161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yriadPro-Regular">
    <w:altName w:val="Calibri"/>
    <w:panose1 w:val="00000000000000000000"/>
    <w:charset w:val="00"/>
    <w:family w:val="auto"/>
    <w:notTrueType/>
    <w:pitch w:val="default"/>
    <w:sig w:usb0="00000003" w:usb1="00000000" w:usb2="00000000" w:usb3="00000000" w:csb0="00000001" w:csb1="00000000"/>
  </w:font>
  <w:font w:name="Myriad Pro Light">
    <w:altName w:val="Myriad Pro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Bold">
    <w:altName w:val="Verdana"/>
    <w:panose1 w:val="020B080403050404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BEB78" w14:textId="77777777" w:rsidR="00065884" w:rsidRDefault="00571B91">
    <w:pPr>
      <w:pStyle w:val="Footer"/>
    </w:pPr>
    <w:r>
      <w:rPr>
        <w:noProof/>
        <w:lang w:eastAsia="en-GB"/>
      </w:rPr>
      <w:pict w14:anchorId="137F5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3.15pt;margin-top:-21.75pt;width:813.55pt;height:40pt;z-index:3;mso-wrap-edited:f">
          <v:imagedata r:id="rId1" o:title="GCSE landscape bottom"/>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4C17B" w14:textId="77777777" w:rsidR="00065884" w:rsidRDefault="00571B91" w:rsidP="00D83886">
    <w:r>
      <w:rPr>
        <w:noProof/>
        <w:lang w:eastAsia="en-GB"/>
      </w:rPr>
      <w:pict w14:anchorId="131B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2.25pt;margin-top:-21.25pt;width:813.55pt;height:40pt;z-index:2;mso-wrap-edited:f">
          <v:imagedata r:id="rId1" o:title="GCSE landscape bottom"/>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765A" w14:textId="77777777" w:rsidR="005F428C" w:rsidRDefault="005F428C">
    <w:pPr>
      <w:pStyle w:val="Footer"/>
      <w:jc w:val="center"/>
    </w:pPr>
    <w:r>
      <w:fldChar w:fldCharType="begin"/>
    </w:r>
    <w:r>
      <w:instrText xml:space="preserve"> PAGE   \* MERGEFORMAT </w:instrText>
    </w:r>
    <w:r>
      <w:fldChar w:fldCharType="separate"/>
    </w:r>
    <w:r w:rsidR="00665684">
      <w:rPr>
        <w:noProof/>
      </w:rPr>
      <w:t>6</w:t>
    </w:r>
    <w:r>
      <w:fldChar w:fldCharType="end"/>
    </w:r>
  </w:p>
  <w:p w14:paraId="15FA413C" w14:textId="77777777" w:rsidR="005F428C" w:rsidRDefault="005F42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058C" w14:textId="77777777" w:rsidR="00665684" w:rsidRDefault="00F64A81" w:rsidP="00665684">
    <w:pPr>
      <w:pStyle w:val="Footer"/>
    </w:pPr>
    <w:r>
      <w:t xml:space="preserve">Issue </w:t>
    </w:r>
    <w:r w:rsidR="00973B94">
      <w:t>2</w:t>
    </w:r>
    <w:r>
      <w:t xml:space="preserve"> © Pearson Education Ltd 202</w:t>
    </w:r>
    <w:r w:rsidR="00973B94">
      <w:t>4</w:t>
    </w:r>
  </w:p>
  <w:p w14:paraId="5DBF9D28" w14:textId="77777777" w:rsidR="005F428C" w:rsidRDefault="005F428C">
    <w:pPr>
      <w:pStyle w:val="Footer"/>
      <w:jc w:val="center"/>
    </w:pPr>
    <w:r>
      <w:fldChar w:fldCharType="begin"/>
    </w:r>
    <w:r>
      <w:instrText xml:space="preserve"> PAGE   \* MERGEFORMAT </w:instrText>
    </w:r>
    <w:r>
      <w:fldChar w:fldCharType="separate"/>
    </w:r>
    <w:r w:rsidR="000C395B">
      <w:rPr>
        <w:noProof/>
      </w:rPr>
      <w:t>1</w:t>
    </w:r>
    <w:r>
      <w:fldChar w:fldCharType="end"/>
    </w:r>
  </w:p>
  <w:p w14:paraId="1AFCE472" w14:textId="77777777" w:rsidR="005F428C" w:rsidRDefault="005F4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27B7" w14:textId="77777777" w:rsidR="001617C7" w:rsidRDefault="001617C7">
      <w:r>
        <w:separator/>
      </w:r>
    </w:p>
  </w:footnote>
  <w:footnote w:type="continuationSeparator" w:id="0">
    <w:p w14:paraId="511BEC57" w14:textId="77777777" w:rsidR="001617C7" w:rsidRDefault="00161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C9A27" w14:textId="77777777" w:rsidR="00065884" w:rsidRDefault="00571B91">
    <w:pPr>
      <w:pStyle w:val="Header"/>
    </w:pPr>
    <w:r>
      <w:rPr>
        <w:noProof/>
      </w:rPr>
      <w:pict w14:anchorId="4CE8A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56.7pt;margin-top:-28.25pt;width:845pt;height:596.4pt;z-index:-1;mso-wrap-edited:f">
          <v:imagedata r:id="rId1" o:title="GCSE_History_L"/>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4CD2" w14:textId="77777777" w:rsidR="00065884" w:rsidRDefault="00571B91">
    <w:pPr>
      <w:pStyle w:val="Header"/>
    </w:pPr>
    <w:r>
      <w:rPr>
        <w:noProof/>
        <w:lang w:eastAsia="en-GB"/>
      </w:rPr>
      <w:pict w14:anchorId="17F0F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841.9pt;height:595.7pt;z-index:1;mso-wrap-edited:f;mso-position-horizontal:left;mso-position-horizontal-relative:page;mso-position-vertical:top;mso-position-vertical-relative:page">
          <v:imagedata r:id="rId1" o:title="GCSE_FrenchLscapeFCwDraftStamp"/>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402A" w14:textId="77777777" w:rsidR="005F428C" w:rsidRDefault="005F428C" w:rsidP="00007504">
    <w:pPr>
      <w:pStyle w:val="Icon"/>
      <w:framePr w:wrap="around"/>
    </w:pPr>
  </w:p>
  <w:p w14:paraId="011E50A5" w14:textId="77777777" w:rsidR="005F428C" w:rsidRDefault="005F428C" w:rsidP="00007504">
    <w:pPr>
      <w:pStyle w:val="HeaderOd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C98FB" w14:textId="77777777" w:rsidR="005F428C" w:rsidRDefault="005F428C" w:rsidP="00007504">
    <w:pPr>
      <w:pStyle w:val="IconRight"/>
      <w:framePr w:wrap="around"/>
    </w:pPr>
  </w:p>
  <w:p w14:paraId="29B5B2EC" w14:textId="77777777" w:rsidR="005F428C" w:rsidRDefault="005F428C" w:rsidP="002A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B2B6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0064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FE48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1E01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EC6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AC13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7EF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36F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C4E8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AAE2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2" w15:restartNumberingAfterBreak="0">
    <w:nsid w:val="092A3E7F"/>
    <w:multiLevelType w:val="multilevel"/>
    <w:tmpl w:val="BC9050BA"/>
    <w:lvl w:ilvl="0">
      <w:start w:val="1"/>
      <w:numFmt w:val="bullet"/>
      <w:lvlText w:val=""/>
      <w:lvlJc w:val="left"/>
      <w:pPr>
        <w:tabs>
          <w:tab w:val="num" w:pos="397"/>
        </w:tabs>
        <w:ind w:left="397" w:hanging="397"/>
      </w:pPr>
      <w:rPr>
        <w:rFonts w:ascii="Symbol" w:hAnsi="Symbo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1E5D0997"/>
    <w:multiLevelType w:val="hybridMultilevel"/>
    <w:tmpl w:val="47B8E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D63D45"/>
    <w:multiLevelType w:val="hybridMultilevel"/>
    <w:tmpl w:val="1F765952"/>
    <w:lvl w:ilvl="0" w:tplc="1786C2A8">
      <w:start w:val="1"/>
      <w:numFmt w:val="bullet"/>
      <w:pStyle w:val="text"/>
      <w:lvlText w:val="●"/>
      <w:lvlJc w:val="left"/>
      <w:pPr>
        <w:tabs>
          <w:tab w:val="num" w:pos="840"/>
        </w:tabs>
        <w:ind w:left="840" w:hanging="360"/>
      </w:pPr>
      <w:rPr>
        <w:rFonts w:ascii="Verdana" w:hAnsi="Verdana" w:hint="default"/>
        <w:b w:val="0"/>
        <w:i w:val="0"/>
        <w:color w:val="auto"/>
        <w:sz w:val="16"/>
      </w:rPr>
    </w:lvl>
    <w:lvl w:ilvl="1" w:tplc="04090003" w:tentative="1">
      <w:start w:val="1"/>
      <w:numFmt w:val="bullet"/>
      <w:lvlText w:val="o"/>
      <w:lvlJc w:val="left"/>
      <w:pPr>
        <w:tabs>
          <w:tab w:val="num" w:pos="1920"/>
        </w:tabs>
        <w:ind w:left="1920" w:hanging="360"/>
      </w:pPr>
      <w:rPr>
        <w:rFonts w:ascii="Courier New" w:hAnsi="Courier New" w:hint="default"/>
      </w:rPr>
    </w:lvl>
    <w:lvl w:ilvl="2" w:tplc="04090005" w:tentative="1">
      <w:start w:val="1"/>
      <w:numFmt w:val="bullet"/>
      <w:lvlText w:val=""/>
      <w:lvlJc w:val="left"/>
      <w:pPr>
        <w:tabs>
          <w:tab w:val="num" w:pos="2640"/>
        </w:tabs>
        <w:ind w:left="2640" w:hanging="360"/>
      </w:pPr>
      <w:rPr>
        <w:rFonts w:ascii="Wingdings" w:hAnsi="Wingdings" w:hint="default"/>
      </w:rPr>
    </w:lvl>
    <w:lvl w:ilvl="3" w:tplc="04090001" w:tentative="1">
      <w:start w:val="1"/>
      <w:numFmt w:val="bullet"/>
      <w:lvlText w:val=""/>
      <w:lvlJc w:val="left"/>
      <w:pPr>
        <w:tabs>
          <w:tab w:val="num" w:pos="3360"/>
        </w:tabs>
        <w:ind w:left="3360" w:hanging="360"/>
      </w:pPr>
      <w:rPr>
        <w:rFonts w:ascii="Symbol" w:hAnsi="Symbol" w:hint="default"/>
      </w:rPr>
    </w:lvl>
    <w:lvl w:ilvl="4" w:tplc="04090003" w:tentative="1">
      <w:start w:val="1"/>
      <w:numFmt w:val="bullet"/>
      <w:lvlText w:val="o"/>
      <w:lvlJc w:val="left"/>
      <w:pPr>
        <w:tabs>
          <w:tab w:val="num" w:pos="4080"/>
        </w:tabs>
        <w:ind w:left="4080" w:hanging="360"/>
      </w:pPr>
      <w:rPr>
        <w:rFonts w:ascii="Courier New" w:hAnsi="Courier New" w:hint="default"/>
      </w:rPr>
    </w:lvl>
    <w:lvl w:ilvl="5" w:tplc="04090005" w:tentative="1">
      <w:start w:val="1"/>
      <w:numFmt w:val="bullet"/>
      <w:lvlText w:val=""/>
      <w:lvlJc w:val="left"/>
      <w:pPr>
        <w:tabs>
          <w:tab w:val="num" w:pos="4800"/>
        </w:tabs>
        <w:ind w:left="4800" w:hanging="360"/>
      </w:pPr>
      <w:rPr>
        <w:rFonts w:ascii="Wingdings" w:hAnsi="Wingdings" w:hint="default"/>
      </w:rPr>
    </w:lvl>
    <w:lvl w:ilvl="6" w:tplc="04090001" w:tentative="1">
      <w:start w:val="1"/>
      <w:numFmt w:val="bullet"/>
      <w:lvlText w:val=""/>
      <w:lvlJc w:val="left"/>
      <w:pPr>
        <w:tabs>
          <w:tab w:val="num" w:pos="5520"/>
        </w:tabs>
        <w:ind w:left="5520" w:hanging="360"/>
      </w:pPr>
      <w:rPr>
        <w:rFonts w:ascii="Symbol" w:hAnsi="Symbol" w:hint="default"/>
      </w:rPr>
    </w:lvl>
    <w:lvl w:ilvl="7" w:tplc="04090003" w:tentative="1">
      <w:start w:val="1"/>
      <w:numFmt w:val="bullet"/>
      <w:lvlText w:val="o"/>
      <w:lvlJc w:val="left"/>
      <w:pPr>
        <w:tabs>
          <w:tab w:val="num" w:pos="6240"/>
        </w:tabs>
        <w:ind w:left="6240" w:hanging="360"/>
      </w:pPr>
      <w:rPr>
        <w:rFonts w:ascii="Courier New" w:hAnsi="Courier New" w:hint="default"/>
      </w:rPr>
    </w:lvl>
    <w:lvl w:ilvl="8" w:tplc="04090005" w:tentative="1">
      <w:start w:val="1"/>
      <w:numFmt w:val="bullet"/>
      <w:lvlText w:val=""/>
      <w:lvlJc w:val="left"/>
      <w:pPr>
        <w:tabs>
          <w:tab w:val="num" w:pos="6960"/>
        </w:tabs>
        <w:ind w:left="6960" w:hanging="360"/>
      </w:pPr>
      <w:rPr>
        <w:rFonts w:ascii="Wingdings" w:hAnsi="Wingdings" w:hint="default"/>
      </w:rPr>
    </w:lvl>
  </w:abstractNum>
  <w:abstractNum w:abstractNumId="18" w15:restartNumberingAfterBreak="0">
    <w:nsid w:val="26026756"/>
    <w:multiLevelType w:val="hybridMultilevel"/>
    <w:tmpl w:val="7160EC94"/>
    <w:lvl w:ilvl="0" w:tplc="8458B106">
      <w:start w:val="1"/>
      <w:numFmt w:val="bullet"/>
      <w:lvlText w:val="●"/>
      <w:lvlJc w:val="left"/>
      <w:pPr>
        <w:tabs>
          <w:tab w:val="num" w:pos="360"/>
        </w:tabs>
        <w:ind w:left="360" w:hanging="360"/>
      </w:pPr>
      <w:rPr>
        <w:rFonts w:ascii="Verdana" w:hAnsi="Verdana" w:hint="default"/>
        <w:b w:val="0"/>
        <w:i w:val="0"/>
        <w:color w:val="auto"/>
        <w:sz w:val="16"/>
        <w:szCs w:val="16"/>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80E43E76"/>
    <w:numStyleLink w:val="Listnum"/>
  </w:abstractNum>
  <w:abstractNum w:abstractNumId="20" w15:restartNumberingAfterBreak="0">
    <w:nsid w:val="2A634C4B"/>
    <w:multiLevelType w:val="hybridMultilevel"/>
    <w:tmpl w:val="FACAC444"/>
    <w:lvl w:ilvl="0" w:tplc="D92E6444">
      <w:start w:val="1"/>
      <w:numFmt w:val="bullet"/>
      <w:pStyle w:val="Feature1textbullets"/>
      <w:lvlText w:val="●"/>
      <w:lvlJc w:val="left"/>
      <w:pPr>
        <w:tabs>
          <w:tab w:val="num" w:pos="505"/>
        </w:tabs>
        <w:ind w:left="505" w:hanging="39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C5862"/>
    <w:multiLevelType w:val="multilevel"/>
    <w:tmpl w:val="BC9050BA"/>
    <w:lvl w:ilvl="0">
      <w:start w:val="1"/>
      <w:numFmt w:val="bullet"/>
      <w:lvlText w:val=""/>
      <w:lvlJc w:val="left"/>
      <w:pPr>
        <w:tabs>
          <w:tab w:val="num" w:pos="397"/>
        </w:tabs>
        <w:ind w:left="397" w:hanging="397"/>
      </w:pPr>
      <w:rPr>
        <w:rFonts w:ascii="Symbol" w:hAnsi="Symbo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33F3715"/>
    <w:multiLevelType w:val="multilevel"/>
    <w:tmpl w:val="80E43E76"/>
    <w:numStyleLink w:val="Listnum"/>
  </w:abstractNum>
  <w:abstractNum w:abstractNumId="23" w15:restartNumberingAfterBreak="0">
    <w:nsid w:val="4C786405"/>
    <w:multiLevelType w:val="hybridMultilevel"/>
    <w:tmpl w:val="A052D274"/>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F077B4D"/>
    <w:multiLevelType w:val="hybridMultilevel"/>
    <w:tmpl w:val="300CBC1E"/>
    <w:lvl w:ilvl="0" w:tplc="48647D16">
      <w:start w:val="1"/>
      <w:numFmt w:val="decimal"/>
      <w:lvlText w:val="%1."/>
      <w:lvlJc w:val="left"/>
      <w:pPr>
        <w:ind w:left="72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5" w15:restartNumberingAfterBreak="0">
    <w:nsid w:val="5DE279B0"/>
    <w:multiLevelType w:val="multilevel"/>
    <w:tmpl w:val="29505346"/>
    <w:numStyleLink w:val="Listtable"/>
  </w:abstractNum>
  <w:abstractNum w:abstractNumId="26" w15:restartNumberingAfterBreak="0">
    <w:nsid w:val="66D24E1B"/>
    <w:multiLevelType w:val="hybridMultilevel"/>
    <w:tmpl w:val="4E86F13C"/>
    <w:lvl w:ilvl="0" w:tplc="48647D1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46464C"/>
    <w:multiLevelType w:val="hybridMultilevel"/>
    <w:tmpl w:val="B2F04BC6"/>
    <w:lvl w:ilvl="0" w:tplc="48647D1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75E357D0"/>
    <w:multiLevelType w:val="hybridMultilevel"/>
    <w:tmpl w:val="FCD06822"/>
    <w:lvl w:ilvl="0" w:tplc="48647D16">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97533139">
    <w:abstractNumId w:val="31"/>
  </w:num>
  <w:num w:numId="2" w16cid:durableId="477650864">
    <w:abstractNumId w:val="29"/>
  </w:num>
  <w:num w:numId="3" w16cid:durableId="500631666">
    <w:abstractNumId w:val="10"/>
  </w:num>
  <w:num w:numId="4" w16cid:durableId="558126951">
    <w:abstractNumId w:val="30"/>
  </w:num>
  <w:num w:numId="5" w16cid:durableId="1536844349">
    <w:abstractNumId w:val="20"/>
  </w:num>
  <w:num w:numId="6" w16cid:durableId="1930899">
    <w:abstractNumId w:val="22"/>
  </w:num>
  <w:num w:numId="7" w16cid:durableId="1240628649">
    <w:abstractNumId w:val="19"/>
  </w:num>
  <w:num w:numId="8" w16cid:durableId="2118332225">
    <w:abstractNumId w:val="27"/>
  </w:num>
  <w:num w:numId="9" w16cid:durableId="2108571882">
    <w:abstractNumId w:val="14"/>
  </w:num>
  <w:num w:numId="10" w16cid:durableId="275796722">
    <w:abstractNumId w:val="28"/>
  </w:num>
  <w:num w:numId="11" w16cid:durableId="1340044034">
    <w:abstractNumId w:val="13"/>
  </w:num>
  <w:num w:numId="12" w16cid:durableId="1970431725">
    <w:abstractNumId w:val="25"/>
  </w:num>
  <w:num w:numId="13" w16cid:durableId="1868524109">
    <w:abstractNumId w:val="9"/>
  </w:num>
  <w:num w:numId="14" w16cid:durableId="1585604967">
    <w:abstractNumId w:val="7"/>
  </w:num>
  <w:num w:numId="15" w16cid:durableId="1790733018">
    <w:abstractNumId w:val="6"/>
  </w:num>
  <w:num w:numId="16" w16cid:durableId="1890648949">
    <w:abstractNumId w:val="5"/>
  </w:num>
  <w:num w:numId="17" w16cid:durableId="1563642435">
    <w:abstractNumId w:val="4"/>
  </w:num>
  <w:num w:numId="18" w16cid:durableId="963924921">
    <w:abstractNumId w:val="8"/>
  </w:num>
  <w:num w:numId="19" w16cid:durableId="562836074">
    <w:abstractNumId w:val="3"/>
  </w:num>
  <w:num w:numId="20" w16cid:durableId="1300307401">
    <w:abstractNumId w:val="2"/>
  </w:num>
  <w:num w:numId="21" w16cid:durableId="1553542627">
    <w:abstractNumId w:val="1"/>
  </w:num>
  <w:num w:numId="22" w16cid:durableId="619339719">
    <w:abstractNumId w:val="0"/>
  </w:num>
  <w:num w:numId="23" w16cid:durableId="234753393">
    <w:abstractNumId w:val="11"/>
  </w:num>
  <w:num w:numId="24" w16cid:durableId="1420760772">
    <w:abstractNumId w:val="15"/>
  </w:num>
  <w:num w:numId="25" w16cid:durableId="424881730">
    <w:abstractNumId w:val="24"/>
  </w:num>
  <w:num w:numId="26" w16cid:durableId="1664509006">
    <w:abstractNumId w:val="23"/>
  </w:num>
  <w:num w:numId="27" w16cid:durableId="1673338401">
    <w:abstractNumId w:val="18"/>
  </w:num>
  <w:num w:numId="28" w16cid:durableId="145173175">
    <w:abstractNumId w:val="26"/>
  </w:num>
  <w:num w:numId="29" w16cid:durableId="1842574379">
    <w:abstractNumId w:val="16"/>
  </w:num>
  <w:num w:numId="30" w16cid:durableId="1707607992">
    <w:abstractNumId w:val="28"/>
  </w:num>
  <w:num w:numId="31" w16cid:durableId="1576085458">
    <w:abstractNumId w:val="17"/>
  </w:num>
  <w:num w:numId="32" w16cid:durableId="1482623782">
    <w:abstractNumId w:val="12"/>
  </w:num>
  <w:num w:numId="33" w16cid:durableId="177084966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E55"/>
    <w:rsid w:val="00003F80"/>
    <w:rsid w:val="00007504"/>
    <w:rsid w:val="00026512"/>
    <w:rsid w:val="000334CD"/>
    <w:rsid w:val="00037743"/>
    <w:rsid w:val="00065884"/>
    <w:rsid w:val="000B21E9"/>
    <w:rsid w:val="000B32B0"/>
    <w:rsid w:val="000C395B"/>
    <w:rsid w:val="000D1FB8"/>
    <w:rsid w:val="00130940"/>
    <w:rsid w:val="00145271"/>
    <w:rsid w:val="001457F1"/>
    <w:rsid w:val="001617C7"/>
    <w:rsid w:val="00162F7C"/>
    <w:rsid w:val="001A174D"/>
    <w:rsid w:val="001B3491"/>
    <w:rsid w:val="002229E7"/>
    <w:rsid w:val="00235C91"/>
    <w:rsid w:val="00282954"/>
    <w:rsid w:val="002A21ED"/>
    <w:rsid w:val="002A4917"/>
    <w:rsid w:val="002C4EF6"/>
    <w:rsid w:val="002E0A54"/>
    <w:rsid w:val="00301A01"/>
    <w:rsid w:val="003113A6"/>
    <w:rsid w:val="00311D5F"/>
    <w:rsid w:val="00316446"/>
    <w:rsid w:val="00324D84"/>
    <w:rsid w:val="00342D7F"/>
    <w:rsid w:val="0034475E"/>
    <w:rsid w:val="00377CAC"/>
    <w:rsid w:val="00384861"/>
    <w:rsid w:val="00392989"/>
    <w:rsid w:val="003A4C72"/>
    <w:rsid w:val="003D3C09"/>
    <w:rsid w:val="003E693A"/>
    <w:rsid w:val="003F4E77"/>
    <w:rsid w:val="00415D03"/>
    <w:rsid w:val="00426E6B"/>
    <w:rsid w:val="00452AAB"/>
    <w:rsid w:val="00461D34"/>
    <w:rsid w:val="004963DE"/>
    <w:rsid w:val="004A7E9D"/>
    <w:rsid w:val="004F15B2"/>
    <w:rsid w:val="004F163A"/>
    <w:rsid w:val="00532F9E"/>
    <w:rsid w:val="00545E3A"/>
    <w:rsid w:val="00557C06"/>
    <w:rsid w:val="00571B91"/>
    <w:rsid w:val="00580B47"/>
    <w:rsid w:val="00580EC0"/>
    <w:rsid w:val="005B2A76"/>
    <w:rsid w:val="005B61F6"/>
    <w:rsid w:val="005D60EB"/>
    <w:rsid w:val="005F428C"/>
    <w:rsid w:val="0061050B"/>
    <w:rsid w:val="00621844"/>
    <w:rsid w:val="006328BB"/>
    <w:rsid w:val="00632C67"/>
    <w:rsid w:val="006364C7"/>
    <w:rsid w:val="006423C2"/>
    <w:rsid w:val="00665684"/>
    <w:rsid w:val="006A58EB"/>
    <w:rsid w:val="006C399D"/>
    <w:rsid w:val="006E79E7"/>
    <w:rsid w:val="00730B0F"/>
    <w:rsid w:val="00760002"/>
    <w:rsid w:val="0076208F"/>
    <w:rsid w:val="0077129B"/>
    <w:rsid w:val="00781734"/>
    <w:rsid w:val="00791717"/>
    <w:rsid w:val="007A110A"/>
    <w:rsid w:val="007A45BF"/>
    <w:rsid w:val="007E2E98"/>
    <w:rsid w:val="007E77BE"/>
    <w:rsid w:val="00805336"/>
    <w:rsid w:val="008449A7"/>
    <w:rsid w:val="0085560A"/>
    <w:rsid w:val="00881FB1"/>
    <w:rsid w:val="00892512"/>
    <w:rsid w:val="008A3601"/>
    <w:rsid w:val="008D3CA4"/>
    <w:rsid w:val="008E4299"/>
    <w:rsid w:val="008F6B94"/>
    <w:rsid w:val="00912436"/>
    <w:rsid w:val="0091514E"/>
    <w:rsid w:val="009307DE"/>
    <w:rsid w:val="0093385A"/>
    <w:rsid w:val="00973B94"/>
    <w:rsid w:val="00974735"/>
    <w:rsid w:val="009B1B15"/>
    <w:rsid w:val="009E5B05"/>
    <w:rsid w:val="00A010A8"/>
    <w:rsid w:val="00A17BA9"/>
    <w:rsid w:val="00A23C84"/>
    <w:rsid w:val="00A42441"/>
    <w:rsid w:val="00A9252F"/>
    <w:rsid w:val="00AB742F"/>
    <w:rsid w:val="00AC7311"/>
    <w:rsid w:val="00AD08FE"/>
    <w:rsid w:val="00AE7278"/>
    <w:rsid w:val="00B00ECB"/>
    <w:rsid w:val="00B1279C"/>
    <w:rsid w:val="00B14A18"/>
    <w:rsid w:val="00B70E8C"/>
    <w:rsid w:val="00B84960"/>
    <w:rsid w:val="00BA3CE0"/>
    <w:rsid w:val="00BC14DA"/>
    <w:rsid w:val="00BC4B7D"/>
    <w:rsid w:val="00BF607E"/>
    <w:rsid w:val="00C133BF"/>
    <w:rsid w:val="00C224DB"/>
    <w:rsid w:val="00C508DF"/>
    <w:rsid w:val="00CA7306"/>
    <w:rsid w:val="00CC5D35"/>
    <w:rsid w:val="00CE495F"/>
    <w:rsid w:val="00CF49B1"/>
    <w:rsid w:val="00D83886"/>
    <w:rsid w:val="00D86DAD"/>
    <w:rsid w:val="00DB139C"/>
    <w:rsid w:val="00DB4869"/>
    <w:rsid w:val="00DD17D0"/>
    <w:rsid w:val="00DD1B75"/>
    <w:rsid w:val="00E15475"/>
    <w:rsid w:val="00E17F6D"/>
    <w:rsid w:val="00E24ABF"/>
    <w:rsid w:val="00E4102F"/>
    <w:rsid w:val="00E52B70"/>
    <w:rsid w:val="00E656F5"/>
    <w:rsid w:val="00E74D2C"/>
    <w:rsid w:val="00E86714"/>
    <w:rsid w:val="00E90A1E"/>
    <w:rsid w:val="00E91408"/>
    <w:rsid w:val="00E9226F"/>
    <w:rsid w:val="00EC0505"/>
    <w:rsid w:val="00EC596F"/>
    <w:rsid w:val="00EE0EF8"/>
    <w:rsid w:val="00F64A81"/>
    <w:rsid w:val="00F91692"/>
    <w:rsid w:val="00FB67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AEF94AE"/>
  <w15:chartTrackingRefBased/>
  <w15:docId w15:val="{6AA3F3C8-34A8-44BD-91CB-24211A6E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link w:val="textbulletsChar"/>
    <w:qFormat/>
    <w:rsid w:val="004F33FE"/>
    <w:pPr>
      <w:numPr>
        <w:numId w:val="9"/>
      </w:numPr>
      <w:tabs>
        <w:tab w:val="clear" w:pos="397"/>
        <w:tab w:val="left" w:pos="964"/>
      </w:tabs>
      <w:spacing w:before="80" w:after="60" w:line="240" w:lineRule="atLeast"/>
      <w:ind w:left="964"/>
    </w:pPr>
    <w:rPr>
      <w:rFonts w:ascii="Verdana" w:hAnsi="Verdana"/>
      <w:szCs w:val="24"/>
      <w:lang w:eastAsia="es-ES_tradnl"/>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8"/>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Sourcetext">
    <w:name w:val="Source text"/>
    <w:basedOn w:val="Normal"/>
    <w:qFormat/>
    <w:rsid w:val="00A30534"/>
    <w:pPr>
      <w:autoSpaceDE w:val="0"/>
      <w:autoSpaceDN w:val="0"/>
      <w:adjustRightInd w:val="0"/>
      <w:spacing w:before="120" w:after="120"/>
    </w:pPr>
    <w:rPr>
      <w:rFonts w:ascii="Verdana" w:hAnsi="Verdana" w:cs="MyriadPro-Regular"/>
      <w:i/>
      <w:sz w:val="20"/>
      <w:szCs w:val="20"/>
      <w:lang w:eastAsia="en-GB"/>
    </w:rPr>
  </w:style>
  <w:style w:type="paragraph" w:customStyle="1" w:styleId="tabletexthd">
    <w:name w:val="table text hd"/>
    <w:rsid w:val="0010147D"/>
    <w:pPr>
      <w:spacing w:before="120" w:after="60" w:line="260" w:lineRule="atLeast"/>
    </w:pPr>
    <w:rPr>
      <w:rFonts w:ascii="Verdana" w:hAnsi="Verdana"/>
      <w:b/>
      <w:color w:val="FFFFFF"/>
      <w:szCs w:val="22"/>
      <w:lang w:eastAsia="en-US"/>
    </w:rPr>
  </w:style>
  <w:style w:type="character" w:customStyle="1" w:styleId="textbulletsChar">
    <w:name w:val="text bullets Char"/>
    <w:link w:val="textbullets"/>
    <w:rsid w:val="0010147D"/>
    <w:rPr>
      <w:rFonts w:ascii="Verdana" w:hAnsi="Verdana"/>
      <w:szCs w:val="24"/>
      <w:lang w:val="en-GB" w:bidi="ar-SA"/>
    </w:rPr>
  </w:style>
  <w:style w:type="paragraph" w:customStyle="1" w:styleId="text-bold">
    <w:name w:val="text-bold"/>
    <w:basedOn w:val="text"/>
    <w:next w:val="text"/>
    <w:rsid w:val="0010147D"/>
    <w:pPr>
      <w:spacing w:before="60" w:line="260" w:lineRule="exact"/>
      <w:ind w:left="0"/>
    </w:pPr>
    <w:rPr>
      <w:rFonts w:cs="Times New Roman"/>
      <w:b/>
      <w:color w:val="000000"/>
      <w:sz w:val="18"/>
      <w:szCs w:val="20"/>
    </w:rPr>
  </w:style>
  <w:style w:type="paragraph" w:styleId="ListNumber">
    <w:name w:val="List Number"/>
    <w:basedOn w:val="Normal"/>
    <w:rsid w:val="0010147D"/>
    <w:pPr>
      <w:tabs>
        <w:tab w:val="num" w:pos="360"/>
      </w:tabs>
      <w:spacing w:line="260" w:lineRule="atLeast"/>
      <w:ind w:left="360" w:hanging="360"/>
    </w:pPr>
    <w:rPr>
      <w:rFonts w:ascii="Verdana" w:hAnsi="Verdana"/>
      <w:sz w:val="18"/>
      <w:szCs w:val="20"/>
    </w:rPr>
  </w:style>
  <w:style w:type="paragraph" w:customStyle="1" w:styleId="Pa8">
    <w:name w:val="Pa8"/>
    <w:basedOn w:val="Normal"/>
    <w:next w:val="Normal"/>
    <w:uiPriority w:val="99"/>
    <w:rsid w:val="00377CAC"/>
    <w:pPr>
      <w:autoSpaceDE w:val="0"/>
      <w:autoSpaceDN w:val="0"/>
      <w:adjustRightInd w:val="0"/>
      <w:spacing w:line="201" w:lineRule="atLeast"/>
    </w:pPr>
    <w:rPr>
      <w:rFonts w:ascii="Myriad Pro Light" w:eastAsia="Calibri" w:hAnsi="Myriad Pro Light"/>
    </w:rPr>
  </w:style>
  <w:style w:type="character" w:styleId="CommentReference">
    <w:name w:val="annotation reference"/>
    <w:uiPriority w:val="99"/>
    <w:rsid w:val="003E693A"/>
    <w:rPr>
      <w:sz w:val="16"/>
      <w:szCs w:val="16"/>
    </w:rPr>
  </w:style>
  <w:style w:type="paragraph" w:styleId="CommentText">
    <w:name w:val="annotation text"/>
    <w:basedOn w:val="Normal"/>
    <w:link w:val="CommentTextChar"/>
    <w:uiPriority w:val="99"/>
    <w:rsid w:val="003E693A"/>
    <w:rPr>
      <w:sz w:val="20"/>
      <w:szCs w:val="20"/>
      <w:lang w:val="x-none"/>
    </w:rPr>
  </w:style>
  <w:style w:type="character" w:customStyle="1" w:styleId="CommentTextChar">
    <w:name w:val="Comment Text Char"/>
    <w:link w:val="CommentText"/>
    <w:uiPriority w:val="99"/>
    <w:rsid w:val="003E693A"/>
    <w:rPr>
      <w:lang w:eastAsia="en-US"/>
    </w:rPr>
  </w:style>
  <w:style w:type="paragraph" w:styleId="CommentSubject">
    <w:name w:val="annotation subject"/>
    <w:basedOn w:val="CommentText"/>
    <w:next w:val="CommentText"/>
    <w:link w:val="CommentSubjectChar"/>
    <w:rsid w:val="003E693A"/>
    <w:rPr>
      <w:b/>
      <w:bCs/>
    </w:rPr>
  </w:style>
  <w:style w:type="character" w:customStyle="1" w:styleId="CommentSubjectChar">
    <w:name w:val="Comment Subject Char"/>
    <w:link w:val="CommentSubject"/>
    <w:rsid w:val="003E693A"/>
    <w:rPr>
      <w:b/>
      <w:bCs/>
      <w:lang w:eastAsia="en-US"/>
    </w:rPr>
  </w:style>
  <w:style w:type="paragraph" w:styleId="BalloonText">
    <w:name w:val="Balloon Text"/>
    <w:basedOn w:val="Normal"/>
    <w:link w:val="BalloonTextChar"/>
    <w:rsid w:val="003E693A"/>
    <w:rPr>
      <w:rFonts w:ascii="Tahoma" w:hAnsi="Tahoma"/>
      <w:sz w:val="16"/>
      <w:szCs w:val="16"/>
      <w:lang w:val="x-none"/>
    </w:rPr>
  </w:style>
  <w:style w:type="character" w:customStyle="1" w:styleId="BalloonTextChar">
    <w:name w:val="Balloon Text Char"/>
    <w:link w:val="BalloonText"/>
    <w:rsid w:val="003E693A"/>
    <w:rPr>
      <w:rFonts w:ascii="Tahoma" w:hAnsi="Tahoma" w:cs="Tahoma"/>
      <w:sz w:val="16"/>
      <w:szCs w:val="16"/>
      <w:lang w:eastAsia="en-US"/>
    </w:rPr>
  </w:style>
  <w:style w:type="paragraph" w:customStyle="1" w:styleId="Text0">
    <w:name w:val="Text"/>
    <w:basedOn w:val="Normal"/>
    <w:link w:val="TextChar"/>
    <w:rsid w:val="003F4E77"/>
    <w:pPr>
      <w:spacing w:before="40" w:after="40" w:line="200" w:lineRule="atLeast"/>
    </w:pPr>
    <w:rPr>
      <w:rFonts w:ascii="Trebuchet MS" w:eastAsia="Calibri" w:hAnsi="Trebuchet MS"/>
      <w:sz w:val="16"/>
      <w:szCs w:val="16"/>
      <w:lang w:val="x-none"/>
    </w:rPr>
  </w:style>
  <w:style w:type="character" w:customStyle="1" w:styleId="TextChar">
    <w:name w:val="Text Char"/>
    <w:link w:val="Text0"/>
    <w:locked/>
    <w:rsid w:val="003F4E77"/>
    <w:rPr>
      <w:rFonts w:ascii="Trebuchet MS" w:eastAsia="Calibri" w:hAnsi="Trebuchet MS" w:cs="Trebuchet MS"/>
      <w:sz w:val="16"/>
      <w:szCs w:val="16"/>
      <w:lang w:eastAsia="en-US"/>
    </w:rPr>
  </w:style>
  <w:style w:type="character" w:customStyle="1" w:styleId="FooterChar">
    <w:name w:val="Footer Char"/>
    <w:link w:val="Footer"/>
    <w:uiPriority w:val="99"/>
    <w:locked/>
    <w:rsid w:val="003F4E77"/>
    <w:rPr>
      <w:rFonts w:ascii="Verdana" w:hAnsi="Verdana"/>
      <w:sz w:val="14"/>
      <w:szCs w:val="24"/>
      <w:lang w:val="en-GB" w:eastAsia="en-US" w:bidi="ar-SA"/>
    </w:rPr>
  </w:style>
  <w:style w:type="character" w:customStyle="1" w:styleId="apple-converted-space">
    <w:name w:val="apple-converted-space"/>
    <w:basedOn w:val="DefaultParagraphFont"/>
    <w:rsid w:val="00665684"/>
  </w:style>
  <w:style w:type="paragraph" w:customStyle="1" w:styleId="Bodytext">
    <w:name w:val="Body text"/>
    <w:qFormat/>
    <w:rsid w:val="00065884"/>
    <w:pPr>
      <w:spacing w:before="80" w:after="60" w:line="240" w:lineRule="atLeast"/>
    </w:pPr>
    <w:rPr>
      <w:rFonts w:ascii="Verdana" w:hAnsi="Verdana" w:cs="Arial"/>
      <w:szCs w:val="24"/>
      <w:lang w:eastAsia="en-US"/>
    </w:rPr>
  </w:style>
  <w:style w:type="paragraph" w:customStyle="1" w:styleId="Front1">
    <w:name w:val="Front1"/>
    <w:qFormat/>
    <w:rsid w:val="00065884"/>
    <w:pPr>
      <w:spacing w:before="5280" w:after="120"/>
      <w:ind w:left="-284" w:right="-284"/>
    </w:pPr>
    <w:rPr>
      <w:rFonts w:ascii="Verdana Bold" w:hAnsi="Verdana Bold"/>
      <w:b/>
      <w:color w:val="002656"/>
      <w:sz w:val="36"/>
      <w:szCs w:val="48"/>
    </w:rPr>
  </w:style>
  <w:style w:type="paragraph" w:customStyle="1" w:styleId="Front0">
    <w:name w:val="Front0"/>
    <w:basedOn w:val="Normal"/>
    <w:qFormat/>
    <w:rsid w:val="00065884"/>
    <w:pPr>
      <w:spacing w:after="120"/>
      <w:ind w:left="7201" w:right="-284"/>
    </w:pPr>
    <w:rPr>
      <w:rFonts w:ascii="Verdana" w:hAnsi="Verdana"/>
      <w:b/>
      <w:color w:val="002656"/>
      <w:sz w:val="76"/>
      <w:szCs w:val="76"/>
      <w:lang w:eastAsia="en-GB"/>
    </w:rPr>
  </w:style>
  <w:style w:type="paragraph" w:customStyle="1" w:styleId="Front2">
    <w:name w:val="Front2"/>
    <w:next w:val="Normal"/>
    <w:qFormat/>
    <w:rsid w:val="00065884"/>
    <w:pPr>
      <w:pBdr>
        <w:top w:val="single" w:sz="4" w:space="5" w:color="102D51"/>
        <w:bottom w:val="single" w:sz="4" w:space="5" w:color="102D51"/>
      </w:pBdr>
      <w:spacing w:before="120" w:after="60" w:line="280" w:lineRule="exact"/>
      <w:ind w:left="-284" w:right="-284"/>
    </w:pPr>
    <w:rPr>
      <w:rFonts w:ascii="Verdana" w:hAnsi="Verdana"/>
      <w:b/>
      <w:color w:val="002656"/>
      <w:sz w:val="28"/>
      <w:szCs w:val="50"/>
    </w:rPr>
  </w:style>
  <w:style w:type="paragraph" w:customStyle="1" w:styleId="textindentedbold">
    <w:name w:val="text indented bold"/>
    <w:basedOn w:val="Normal"/>
    <w:rsid w:val="00CA7306"/>
    <w:pPr>
      <w:spacing w:before="40" w:after="40" w:line="240" w:lineRule="exact"/>
      <w:ind w:left="238" w:hanging="238"/>
    </w:pPr>
    <w:rPr>
      <w:rFonts w:ascii="Verdana" w:hAnsi="Verdana"/>
      <w:b/>
      <w:color w:val="000000"/>
      <w:sz w:val="18"/>
      <w:szCs w:val="22"/>
      <w:lang w:eastAsia="en-GB"/>
    </w:rPr>
  </w:style>
  <w:style w:type="character" w:styleId="Hyperlink">
    <w:name w:val="Hyperlink"/>
    <w:rsid w:val="00973B9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qualifications.pearson.com/content/dam/pdf/GCSE/History/2016/Teaching-and-learning-materials/gcse-history-changes-for-2025-and-2026-summary-guidance.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GCSE Getting Started</vt:lpstr>
      <vt:lpstr>GCSE Getting Started</vt:lpstr>
    </vt:vector>
  </TitlesOfParts>
  <Company>Pearson Education</Company>
  <LinksUpToDate>false</LinksUpToDate>
  <CharactersWithSpaces>9730</CharactersWithSpaces>
  <SharedDoc>false</SharedDoc>
  <HLinks>
    <vt:vector size="6" baseType="variant">
      <vt:variant>
        <vt:i4>1376340</vt:i4>
      </vt:variant>
      <vt:variant>
        <vt:i4>0</vt:i4>
      </vt:variant>
      <vt:variant>
        <vt:i4>0</vt:i4>
      </vt:variant>
      <vt:variant>
        <vt:i4>5</vt:i4>
      </vt:variant>
      <vt:variant>
        <vt:lpwstr>https://qualifications.pearson.com/content/dam/pdf/GCSE/History/2016/Teaching-and-learning-materials/gcse-history-changes-for-2025-and-2026-summary-guidance.pdf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subject/>
  <dc:creator>regan_c</dc:creator>
  <cp:keywords/>
  <cp:lastModifiedBy>Mark Anstee</cp:lastModifiedBy>
  <cp:revision>3</cp:revision>
  <cp:lastPrinted>2014-03-24T13:35:00Z</cp:lastPrinted>
  <dcterms:created xsi:type="dcterms:W3CDTF">2024-12-17T16:41:00Z</dcterms:created>
  <dcterms:modified xsi:type="dcterms:W3CDTF">2024-12-17T16:42:00Z</dcterms:modified>
</cp:coreProperties>
</file>