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97AF7" w14:textId="77777777" w:rsidR="001A0E0D" w:rsidRPr="00671700" w:rsidRDefault="001A0E0D" w:rsidP="001A0E0D">
      <w:pPr>
        <w:pStyle w:val="Front0"/>
      </w:pPr>
      <w:r>
        <w:t>Option 12 scheme of work</w:t>
      </w:r>
    </w:p>
    <w:p w14:paraId="04EF3378" w14:textId="77777777" w:rsidR="001A0E0D" w:rsidRPr="00486F63" w:rsidRDefault="001A0E0D" w:rsidP="00C17CBB">
      <w:pPr>
        <w:pStyle w:val="Front1"/>
        <w:tabs>
          <w:tab w:val="right" w:pos="14175"/>
        </w:tabs>
        <w:spacing w:before="6000" w:line="264" w:lineRule="auto"/>
      </w:pPr>
      <w:r>
        <w:rPr>
          <w:sz w:val="28"/>
          <w:szCs w:val="28"/>
        </w:rPr>
        <w:t>Warfare and British society</w:t>
      </w:r>
      <w:r w:rsidRPr="002B6CD1">
        <w:rPr>
          <w:sz w:val="28"/>
          <w:szCs w:val="28"/>
        </w:rPr>
        <w:t>, c1</w:t>
      </w:r>
      <w:r>
        <w:rPr>
          <w:sz w:val="28"/>
          <w:szCs w:val="28"/>
        </w:rPr>
        <w:t>25</w:t>
      </w:r>
      <w:r w:rsidRPr="002B6CD1">
        <w:rPr>
          <w:sz w:val="28"/>
          <w:szCs w:val="28"/>
        </w:rPr>
        <w:t xml:space="preserve">0–present </w:t>
      </w:r>
      <w:r>
        <w:rPr>
          <w:sz w:val="28"/>
          <w:szCs w:val="28"/>
        </w:rPr>
        <w:br/>
      </w:r>
      <w:r w:rsidRPr="002B6CD1">
        <w:rPr>
          <w:i/>
          <w:sz w:val="28"/>
          <w:szCs w:val="28"/>
        </w:rPr>
        <w:t>and</w:t>
      </w:r>
      <w:r w:rsidRPr="002B6CD1">
        <w:rPr>
          <w:sz w:val="28"/>
          <w:szCs w:val="28"/>
        </w:rPr>
        <w:t xml:space="preserve"> </w:t>
      </w:r>
      <w:r>
        <w:rPr>
          <w:sz w:val="28"/>
          <w:szCs w:val="28"/>
        </w:rPr>
        <w:t>London and the Second World War, 1939</w:t>
      </w:r>
      <w:r w:rsidRPr="002B6CD1">
        <w:rPr>
          <w:sz w:val="28"/>
          <w:szCs w:val="28"/>
        </w:rPr>
        <w:t>–</w:t>
      </w:r>
      <w:r>
        <w:rPr>
          <w:sz w:val="28"/>
          <w:szCs w:val="28"/>
        </w:rPr>
        <w:t>45</w:t>
      </w:r>
      <w:r>
        <w:br/>
      </w:r>
      <w:r w:rsidRPr="00D61977">
        <w:rPr>
          <w:sz w:val="28"/>
          <w:szCs w:val="28"/>
        </w:rPr>
        <w:t>GCSE (9-1) History</w:t>
      </w:r>
      <w:r w:rsidR="00C17CBB">
        <w:rPr>
          <w:sz w:val="28"/>
          <w:szCs w:val="28"/>
        </w:rPr>
        <w:tab/>
        <w:t>(v3 2024)</w:t>
      </w:r>
    </w:p>
    <w:p w14:paraId="67963EFC" w14:textId="77777777" w:rsidR="001A0E0D" w:rsidRPr="00D61977" w:rsidRDefault="001A0E0D" w:rsidP="001A0E0D">
      <w:pPr>
        <w:pStyle w:val="Front2"/>
        <w:rPr>
          <w:sz w:val="24"/>
          <w:szCs w:val="24"/>
        </w:rPr>
      </w:pPr>
      <w:r w:rsidRPr="00D61977">
        <w:rPr>
          <w:sz w:val="24"/>
          <w:szCs w:val="24"/>
        </w:rPr>
        <w:t>Pearson Edexcel Level 1/Level 2 GCSE (9-1) in History (1HI0)</w:t>
      </w:r>
    </w:p>
    <w:p w14:paraId="09FB32D3" w14:textId="77777777" w:rsidR="001A0E0D" w:rsidRDefault="001A0E0D" w:rsidP="001A0E0D">
      <w:pPr>
        <w:pStyle w:val="Bodytext"/>
        <w:rPr>
          <w:lang w:eastAsia="en-GB"/>
        </w:rPr>
        <w:sectPr w:rsidR="001A0E0D" w:rsidSect="007A7B60">
          <w:headerReference w:type="default" r:id="rId8"/>
          <w:footerReference w:type="default" r:id="rId9"/>
          <w:headerReference w:type="first" r:id="rId10"/>
          <w:footerReference w:type="first" r:id="rId11"/>
          <w:pgSz w:w="16840" w:h="11900" w:orient="landscape" w:code="9"/>
          <w:pgMar w:top="1134" w:right="1134" w:bottom="1134" w:left="1134" w:header="567" w:footer="425" w:gutter="0"/>
          <w:cols w:space="708"/>
        </w:sectPr>
      </w:pPr>
    </w:p>
    <w:p w14:paraId="04D98400" w14:textId="77777777" w:rsidR="001A0E0D" w:rsidRDefault="001A0E0D" w:rsidP="001A0E0D">
      <w:pPr>
        <w:pStyle w:val="Unithead"/>
      </w:pPr>
      <w:r>
        <w:lastRenderedPageBreak/>
        <w:t>Introduction</w:t>
      </w:r>
    </w:p>
    <w:p w14:paraId="27A9A215" w14:textId="77777777" w:rsidR="00C17CBB" w:rsidRDefault="00C17CBB" w:rsidP="00C17CBB">
      <w:pPr>
        <w:pStyle w:val="text"/>
      </w:pPr>
      <w:bookmarkStart w:id="0" w:name="_Hlk181192536"/>
      <w:r w:rsidRPr="00A154DD">
        <w:t xml:space="preserve">This scheme of work has been updated to </w:t>
      </w:r>
      <w:r>
        <w:t>match Issue 6 of the</w:t>
      </w:r>
      <w:r w:rsidRPr="00A154DD">
        <w:t xml:space="preserve"> specification. Summary guidance on the changes can be found </w:t>
      </w:r>
      <w:hyperlink r:id="rId12" w:history="1">
        <w:r w:rsidRPr="00A154DD">
          <w:rPr>
            <w:rStyle w:val="Hyperlink"/>
          </w:rPr>
          <w:t>here</w:t>
        </w:r>
      </w:hyperlink>
      <w:r w:rsidRPr="00A154DD">
        <w:t>.</w:t>
      </w:r>
    </w:p>
    <w:bookmarkEnd w:id="0"/>
    <w:p w14:paraId="31BBCE4E" w14:textId="77777777" w:rsidR="00C17CBB" w:rsidRPr="00A154DD" w:rsidRDefault="00C17CBB" w:rsidP="00C17CBB">
      <w:pPr>
        <w:pStyle w:val="text"/>
      </w:pPr>
    </w:p>
    <w:p w14:paraId="0CE6558A" w14:textId="77777777" w:rsidR="002229E7" w:rsidRPr="00237473" w:rsidRDefault="002229E7" w:rsidP="002229E7">
      <w:pPr>
        <w:pStyle w:val="text"/>
      </w:pPr>
      <w:r w:rsidRPr="00237473">
        <w:t xml:space="preserve">This document provides a sample scheme of work for </w:t>
      </w:r>
      <w:r w:rsidR="00F91692">
        <w:t xml:space="preserve">the </w:t>
      </w:r>
      <w:r w:rsidR="003E748C">
        <w:t>Thematic</w:t>
      </w:r>
      <w:r w:rsidR="00F91692">
        <w:t xml:space="preserve"> study </w:t>
      </w:r>
      <w:r w:rsidR="00681851">
        <w:rPr>
          <w:b/>
        </w:rPr>
        <w:t>Warfare and British society</w:t>
      </w:r>
      <w:r w:rsidR="00F91692">
        <w:rPr>
          <w:b/>
        </w:rPr>
        <w:t>, c1</w:t>
      </w:r>
      <w:r w:rsidR="00681851">
        <w:rPr>
          <w:b/>
        </w:rPr>
        <w:t>25</w:t>
      </w:r>
      <w:r w:rsidR="00F91692">
        <w:rPr>
          <w:b/>
        </w:rPr>
        <w:t xml:space="preserve">0-present </w:t>
      </w:r>
      <w:r w:rsidR="00F91692">
        <w:t xml:space="preserve">and the historic environment </w:t>
      </w:r>
      <w:r w:rsidR="00681851" w:rsidRPr="00681851">
        <w:rPr>
          <w:rFonts w:cs="Verdana"/>
          <w:b/>
          <w:szCs w:val="18"/>
        </w:rPr>
        <w:t>London and the Second World War, 1939–45</w:t>
      </w:r>
      <w:r w:rsidR="00F91692">
        <w:rPr>
          <w:szCs w:val="18"/>
        </w:rPr>
        <w:t>.</w:t>
      </w:r>
      <w:r w:rsidR="00AD2D79">
        <w:rPr>
          <w:szCs w:val="18"/>
        </w:rPr>
        <w:t xml:space="preserve"> </w:t>
      </w:r>
      <w:r w:rsidR="00F91692">
        <w:t xml:space="preserve">This is intended </w:t>
      </w:r>
      <w:r w:rsidR="00F91692" w:rsidRPr="00237473">
        <w:t>as an example approach only and is not prescriptive</w:t>
      </w:r>
      <w:r w:rsidR="00F91692">
        <w:t>: it</w:t>
      </w:r>
      <w:r w:rsidRPr="00237473">
        <w:t xml:space="preserve"> should be adapted by </w:t>
      </w:r>
      <w:r w:rsidR="00F91692">
        <w:t xml:space="preserve">schools </w:t>
      </w:r>
      <w:r w:rsidRPr="00237473">
        <w:t xml:space="preserve">to fit their timetabling and staffing arrangements. </w:t>
      </w:r>
    </w:p>
    <w:p w14:paraId="7B6C4261" w14:textId="77777777" w:rsidR="00316446" w:rsidRDefault="002229E7" w:rsidP="002229E7">
      <w:pPr>
        <w:pStyle w:val="text"/>
      </w:pPr>
      <w:r w:rsidRPr="00237473">
        <w:t xml:space="preserve">The scheme assumes </w:t>
      </w:r>
      <w:r w:rsidR="00316446">
        <w:t>18</w:t>
      </w:r>
      <w:r w:rsidRPr="00237473">
        <w:t xml:space="preserve"> teaching weeks for Paper </w:t>
      </w:r>
      <w:r>
        <w:t>1</w:t>
      </w:r>
      <w:r w:rsidR="00316446">
        <w:t xml:space="preserve">, with 12 weeks allocated to the </w:t>
      </w:r>
      <w:r w:rsidR="00442C8E">
        <w:t xml:space="preserve">Thematic </w:t>
      </w:r>
      <w:r w:rsidR="00316446">
        <w:t>study and 6 weeks to the historic environment</w:t>
      </w:r>
      <w:r w:rsidRPr="00237473">
        <w:t xml:space="preserve">. </w:t>
      </w:r>
    </w:p>
    <w:p w14:paraId="033B8CBC" w14:textId="77777777" w:rsidR="007A7B60" w:rsidRDefault="007A7B60" w:rsidP="007A7B60">
      <w:pPr>
        <w:pStyle w:val="text"/>
      </w:pPr>
      <w:r w:rsidRPr="00316446">
        <w:t xml:space="preserve">The separate </w:t>
      </w:r>
      <w:r w:rsidRPr="00845780">
        <w:rPr>
          <w:b/>
        </w:rPr>
        <w:t>Course planner</w:t>
      </w:r>
      <w:r w:rsidRPr="00316446">
        <w:t xml:space="preserve"> document provides a range of examples of delivery options that can be used for planning alongside this document.</w:t>
      </w:r>
    </w:p>
    <w:p w14:paraId="1E92C7C3" w14:textId="77777777" w:rsidR="007A7B60" w:rsidRPr="00E45736" w:rsidRDefault="007A7B60" w:rsidP="007A7B60">
      <w:pPr>
        <w:pStyle w:val="text"/>
      </w:pPr>
      <w:r>
        <w:t xml:space="preserve">The separate </w:t>
      </w:r>
      <w:r>
        <w:rPr>
          <w:b/>
        </w:rPr>
        <w:t xml:space="preserve">Topic booklet </w:t>
      </w:r>
      <w:r>
        <w:t>for Option 1</w:t>
      </w:r>
      <w:r w:rsidR="001625B9">
        <w:t>2</w:t>
      </w:r>
      <w:r>
        <w:t xml:space="preserve"> includes illustrative exemplification of content and of the role of factors in change.</w:t>
      </w:r>
    </w:p>
    <w:p w14:paraId="000657EA" w14:textId="77777777" w:rsidR="00007504" w:rsidRDefault="00007504" w:rsidP="00007504"/>
    <w:p w14:paraId="0E676ED9" w14:textId="77777777" w:rsidR="00CE495F" w:rsidRDefault="00CE495F" w:rsidP="00CE495F">
      <w:pPr>
        <w:pStyle w:val="text"/>
      </w:pPr>
      <w:r>
        <w:t>In adapting this scheme of work, teachers might find it useful to consider the following:</w:t>
      </w:r>
    </w:p>
    <w:p w14:paraId="31142F36" w14:textId="77777777" w:rsidR="00CE495F" w:rsidRDefault="00CE495F" w:rsidP="00CE495F">
      <w:pPr>
        <w:pStyle w:val="textbullets"/>
      </w:pPr>
      <w:r w:rsidRPr="004001B5">
        <w:t>What</w:t>
      </w:r>
      <w:r>
        <w:t>,</w:t>
      </w:r>
      <w:r w:rsidRPr="004001B5">
        <w:t xml:space="preserve"> and how much</w:t>
      </w:r>
      <w:r>
        <w:t>,</w:t>
      </w:r>
      <w:r w:rsidRPr="004001B5">
        <w:t xml:space="preserve"> background and contextual </w:t>
      </w:r>
      <w:r>
        <w:t xml:space="preserve">material </w:t>
      </w:r>
      <w:r w:rsidRPr="004001B5">
        <w:t>needs to be covered as an introduction and overview before starting the main specification content</w:t>
      </w:r>
      <w:r>
        <w:t>.</w:t>
      </w:r>
    </w:p>
    <w:p w14:paraId="6E63EA79" w14:textId="77777777" w:rsidR="00CE495F" w:rsidRDefault="00CE495F" w:rsidP="00CE495F">
      <w:pPr>
        <w:pStyle w:val="textbullets"/>
      </w:pPr>
      <w:r>
        <w:t xml:space="preserve">How </w:t>
      </w:r>
      <w:r w:rsidRPr="004001B5">
        <w:t>the historic environment</w:t>
      </w:r>
      <w:r>
        <w:t xml:space="preserve"> with source work</w:t>
      </w:r>
      <w:r w:rsidRPr="004001B5">
        <w:t xml:space="preserve"> </w:t>
      </w:r>
      <w:r>
        <w:t>is incorporated:</w:t>
      </w:r>
      <w:r w:rsidRPr="004001B5">
        <w:t xml:space="preserve"> </w:t>
      </w:r>
      <w:r>
        <w:t xml:space="preserve">for example, it could be </w:t>
      </w:r>
      <w:r w:rsidRPr="004001B5">
        <w:t xml:space="preserve">taught separately after the main </w:t>
      </w:r>
      <w:r w:rsidR="00442C8E">
        <w:t>T</w:t>
      </w:r>
      <w:r w:rsidR="00442C8E" w:rsidRPr="004001B5">
        <w:t xml:space="preserve">hematic </w:t>
      </w:r>
      <w:r w:rsidRPr="004001B5">
        <w:t xml:space="preserve">study </w:t>
      </w:r>
      <w:r>
        <w:t xml:space="preserve">content, or it could be treated as an extended case study </w:t>
      </w:r>
      <w:r w:rsidRPr="004001B5">
        <w:t>within the</w:t>
      </w:r>
      <w:r>
        <w:t xml:space="preserve"> </w:t>
      </w:r>
      <w:r w:rsidR="003E748C">
        <w:t>Thematic</w:t>
      </w:r>
      <w:r>
        <w:t xml:space="preserve"> study and then </w:t>
      </w:r>
      <w:r w:rsidRPr="004001B5">
        <w:t>returned to more thoroughly</w:t>
      </w:r>
      <w:r>
        <w:t xml:space="preserve"> after the </w:t>
      </w:r>
      <w:r w:rsidR="003E748C">
        <w:t>Thematic</w:t>
      </w:r>
      <w:r>
        <w:t xml:space="preserve"> study teaching. It will need to be clear to students that the assessment of the historic environment is </w:t>
      </w:r>
      <w:r w:rsidRPr="00442C8E">
        <w:t>separate</w:t>
      </w:r>
      <w:r>
        <w:t xml:space="preserve"> from the </w:t>
      </w:r>
      <w:r w:rsidR="003E748C">
        <w:t>Thematic</w:t>
      </w:r>
      <w:r>
        <w:t xml:space="preserve"> study content.</w:t>
      </w:r>
    </w:p>
    <w:p w14:paraId="0A271301" w14:textId="77777777" w:rsidR="00CE495F" w:rsidRDefault="00CE495F" w:rsidP="00CE495F">
      <w:pPr>
        <w:pStyle w:val="textbullets"/>
      </w:pPr>
      <w:r>
        <w:t xml:space="preserve">How, when studying the </w:t>
      </w:r>
      <w:r w:rsidR="003E748C">
        <w:t>Thematic</w:t>
      </w:r>
      <w:r>
        <w:t xml:space="preserve"> study content, students develop their </w:t>
      </w:r>
      <w:r w:rsidRPr="0095201C">
        <w:t>understand</w:t>
      </w:r>
      <w:r>
        <w:t>ing</w:t>
      </w:r>
      <w:r w:rsidRPr="0095201C">
        <w:t xml:space="preserve"> </w:t>
      </w:r>
      <w:r>
        <w:t xml:space="preserve">of </w:t>
      </w:r>
      <w:r w:rsidRPr="0095201C">
        <w:t xml:space="preserve">how key features in the development of </w:t>
      </w:r>
      <w:r w:rsidR="008C0AD2">
        <w:t>warfare</w:t>
      </w:r>
      <w:r w:rsidRPr="0095201C">
        <w:t xml:space="preserve"> </w:t>
      </w:r>
      <w:r>
        <w:t xml:space="preserve">are </w:t>
      </w:r>
      <w:r w:rsidRPr="0095201C">
        <w:t>linked with the key features of</w:t>
      </w:r>
      <w:r>
        <w:t xml:space="preserve"> </w:t>
      </w:r>
      <w:r w:rsidRPr="0095201C">
        <w:t>society</w:t>
      </w:r>
      <w:r>
        <w:t xml:space="preserve"> in Britain in the periods</w:t>
      </w:r>
      <w:r w:rsidRPr="0095201C">
        <w:t xml:space="preserve"> studied</w:t>
      </w:r>
      <w:r>
        <w:t>.</w:t>
      </w:r>
    </w:p>
    <w:p w14:paraId="1810C856" w14:textId="77777777" w:rsidR="00007504" w:rsidRDefault="00CE495F" w:rsidP="00CE495F">
      <w:pPr>
        <w:pStyle w:val="textbullets"/>
      </w:pPr>
      <w:r>
        <w:t xml:space="preserve">How students can develop an understanding of the influence of factors in inhibiting or encouraging change within periods and across the theme, and </w:t>
      </w:r>
      <w:r w:rsidRPr="0095201C">
        <w:t>how factors worked</w:t>
      </w:r>
      <w:r>
        <w:t xml:space="preserve"> </w:t>
      </w:r>
      <w:r w:rsidRPr="0095201C">
        <w:t>together to bring particular developments at particular times</w:t>
      </w:r>
      <w:r>
        <w:t xml:space="preserve">. The factors are: </w:t>
      </w:r>
      <w:r w:rsidR="00442C8E">
        <w:t xml:space="preserve">governments </w:t>
      </w:r>
      <w:r>
        <w:t>and institutions</w:t>
      </w:r>
      <w:r w:rsidR="00442C8E">
        <w:t xml:space="preserve">; </w:t>
      </w:r>
      <w:r>
        <w:t>science</w:t>
      </w:r>
      <w:r w:rsidR="00442C8E">
        <w:t xml:space="preserve">, </w:t>
      </w:r>
      <w:r>
        <w:t>technology</w:t>
      </w:r>
      <w:r w:rsidR="00442C8E">
        <w:t xml:space="preserve"> and communications; </w:t>
      </w:r>
      <w:r>
        <w:t>and attitudes in society.</w:t>
      </w:r>
    </w:p>
    <w:p w14:paraId="56E23CD8" w14:textId="77777777" w:rsidR="007A7B60" w:rsidRDefault="007A7B60" w:rsidP="007A7B60">
      <w:pPr>
        <w:pStyle w:val="textbullets"/>
        <w:numPr>
          <w:ilvl w:val="0"/>
          <w:numId w:val="0"/>
        </w:numPr>
      </w:pPr>
    </w:p>
    <w:p w14:paraId="40450DC0" w14:textId="77777777" w:rsidR="007A7B60" w:rsidRPr="00D35A1F" w:rsidRDefault="007A7B60" w:rsidP="007A7B60">
      <w:pPr>
        <w:pStyle w:val="text"/>
      </w:pPr>
      <w:r>
        <w:t>In the historic environment section, t</w:t>
      </w:r>
      <w:r w:rsidRPr="00D35A1F">
        <w:t xml:space="preserve">he following </w:t>
      </w:r>
      <w:r>
        <w:t xml:space="preserve">concepts of evidence have been included alongside the content: source utility </w:t>
      </w:r>
      <w:r w:rsidRPr="00D35A1F">
        <w:t>and following up a source.</w:t>
      </w:r>
      <w:r>
        <w:t xml:space="preserve"> Note that each of these question types could be asked on any of the historic environment content: they are included in particular weeks only as suggestions for how they could be incorporated into the content.</w:t>
      </w:r>
    </w:p>
    <w:p w14:paraId="342D4C14" w14:textId="77777777" w:rsidR="007A7B60" w:rsidRDefault="007A7B60" w:rsidP="007A7B60">
      <w:pPr>
        <w:pStyle w:val="textbullets"/>
        <w:numPr>
          <w:ilvl w:val="0"/>
          <w:numId w:val="0"/>
        </w:numPr>
        <w:sectPr w:rsidR="007A7B60" w:rsidSect="001A0E0D">
          <w:headerReference w:type="even" r:id="rId13"/>
          <w:headerReference w:type="default" r:id="rId14"/>
          <w:footerReference w:type="even" r:id="rId15"/>
          <w:footerReference w:type="default" r:id="rId16"/>
          <w:pgSz w:w="16840" w:h="11900" w:orient="landscape" w:code="9"/>
          <w:pgMar w:top="1418" w:right="1418" w:bottom="1418" w:left="1134" w:header="567" w:footer="567" w:gutter="0"/>
          <w:pgNumType w:start="1"/>
          <w:cols w:space="708"/>
          <w:docGrid w:linePitch="326"/>
        </w:sectPr>
      </w:pPr>
    </w:p>
    <w:p w14:paraId="48CC6020" w14:textId="77777777" w:rsidR="00007504" w:rsidRPr="0010147D" w:rsidRDefault="00007504" w:rsidP="00007504">
      <w:pPr>
        <w:pStyle w:val="text"/>
      </w:pPr>
    </w:p>
    <w:tbl>
      <w:tblPr>
        <w:tblW w:w="4973" w:type="pct"/>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firstRow="1" w:lastRow="1" w:firstColumn="1" w:lastColumn="1" w:noHBand="0" w:noVBand="0"/>
      </w:tblPr>
      <w:tblGrid>
        <w:gridCol w:w="1102"/>
        <w:gridCol w:w="3116"/>
        <w:gridCol w:w="10208"/>
      </w:tblGrid>
      <w:tr w:rsidR="002A21ED" w:rsidRPr="004C7F7D" w14:paraId="4B52376C" w14:textId="77777777" w:rsidTr="00247716">
        <w:trPr>
          <w:cantSplit/>
          <w:trHeight w:val="214"/>
          <w:tblHeader/>
        </w:trPr>
        <w:tc>
          <w:tcPr>
            <w:tcW w:w="382" w:type="pct"/>
            <w:tcBorders>
              <w:top w:val="single" w:sz="4" w:space="0" w:color="FFFFFF"/>
              <w:left w:val="single" w:sz="4" w:space="0" w:color="FFFFFF"/>
              <w:bottom w:val="single" w:sz="4" w:space="0" w:color="999999"/>
              <w:right w:val="single" w:sz="4" w:space="0" w:color="FFFFFF"/>
            </w:tcBorders>
            <w:shd w:val="clear" w:color="auto" w:fill="999999"/>
          </w:tcPr>
          <w:p w14:paraId="639082B1" w14:textId="77777777" w:rsidR="002A21ED" w:rsidRPr="00F532F8" w:rsidRDefault="002A21ED" w:rsidP="00247716">
            <w:pPr>
              <w:pStyle w:val="tabletexthd"/>
              <w:spacing w:before="60"/>
              <w:jc w:val="center"/>
              <w:rPr>
                <w:sz w:val="18"/>
                <w:szCs w:val="18"/>
                <w:shd w:val="clear" w:color="auto" w:fill="FFFFFF"/>
              </w:rPr>
            </w:pPr>
            <w:r>
              <w:rPr>
                <w:sz w:val="18"/>
                <w:szCs w:val="18"/>
              </w:rPr>
              <w:t>Week</w:t>
            </w:r>
          </w:p>
        </w:tc>
        <w:tc>
          <w:tcPr>
            <w:tcW w:w="1080" w:type="pct"/>
            <w:tcBorders>
              <w:top w:val="single" w:sz="4" w:space="0" w:color="FFFFFF"/>
              <w:left w:val="single" w:sz="4" w:space="0" w:color="FFFFFF"/>
              <w:bottom w:val="single" w:sz="4" w:space="0" w:color="999999"/>
              <w:right w:val="single" w:sz="4" w:space="0" w:color="FFFFFF"/>
            </w:tcBorders>
            <w:shd w:val="clear" w:color="auto" w:fill="999999"/>
          </w:tcPr>
          <w:p w14:paraId="39F29CB0" w14:textId="77777777" w:rsidR="002A21ED" w:rsidRPr="00F532F8" w:rsidRDefault="00247716" w:rsidP="00247716">
            <w:pPr>
              <w:pStyle w:val="tabletexthd"/>
              <w:spacing w:before="60"/>
              <w:jc w:val="center"/>
              <w:rPr>
                <w:sz w:val="18"/>
                <w:szCs w:val="18"/>
              </w:rPr>
            </w:pPr>
            <w:r>
              <w:rPr>
                <w:sz w:val="18"/>
                <w:szCs w:val="18"/>
              </w:rPr>
              <w:t>Key topic / content strand</w:t>
            </w:r>
          </w:p>
        </w:tc>
        <w:tc>
          <w:tcPr>
            <w:tcW w:w="3538" w:type="pct"/>
            <w:tcBorders>
              <w:top w:val="single" w:sz="4" w:space="0" w:color="FFFFFF"/>
              <w:left w:val="single" w:sz="4" w:space="0" w:color="FFFFFF"/>
              <w:bottom w:val="single" w:sz="4" w:space="0" w:color="999999"/>
              <w:right w:val="single" w:sz="4" w:space="0" w:color="FFFFFF"/>
            </w:tcBorders>
            <w:shd w:val="clear" w:color="auto" w:fill="999999"/>
          </w:tcPr>
          <w:p w14:paraId="2B71E45B" w14:textId="77777777" w:rsidR="002A21ED" w:rsidRDefault="002A21ED" w:rsidP="00247716">
            <w:pPr>
              <w:pStyle w:val="tabletexthd"/>
              <w:spacing w:before="60"/>
              <w:jc w:val="center"/>
              <w:rPr>
                <w:sz w:val="18"/>
                <w:szCs w:val="18"/>
              </w:rPr>
            </w:pPr>
            <w:r>
              <w:rPr>
                <w:sz w:val="18"/>
                <w:szCs w:val="18"/>
              </w:rPr>
              <w:t>Specification content</w:t>
            </w:r>
          </w:p>
        </w:tc>
      </w:tr>
      <w:tr w:rsidR="00627CCE" w:rsidRPr="002B4ED0" w14:paraId="467CE5BF" w14:textId="77777777" w:rsidTr="00247716">
        <w:trPr>
          <w:cantSplit/>
          <w:trHeight w:val="400"/>
        </w:trPr>
        <w:tc>
          <w:tcPr>
            <w:tcW w:w="382" w:type="pct"/>
            <w:vMerge w:val="restart"/>
            <w:tcBorders>
              <w:top w:val="single" w:sz="4" w:space="0" w:color="999999"/>
            </w:tcBorders>
            <w:shd w:val="clear" w:color="auto" w:fill="auto"/>
          </w:tcPr>
          <w:p w14:paraId="2C250533" w14:textId="77777777" w:rsidR="00627CCE" w:rsidRPr="00007504" w:rsidRDefault="00627CCE" w:rsidP="008D6666">
            <w:pPr>
              <w:pStyle w:val="textbullets"/>
              <w:numPr>
                <w:ilvl w:val="0"/>
                <w:numId w:val="0"/>
              </w:numPr>
              <w:tabs>
                <w:tab w:val="clear" w:pos="964"/>
              </w:tabs>
              <w:spacing w:before="60"/>
              <w:jc w:val="center"/>
              <w:rPr>
                <w:rFonts w:cs="Arial"/>
                <w:szCs w:val="18"/>
              </w:rPr>
            </w:pPr>
            <w:r>
              <w:rPr>
                <w:rFonts w:cs="Arial"/>
                <w:szCs w:val="18"/>
              </w:rPr>
              <w:t>1</w:t>
            </w:r>
          </w:p>
        </w:tc>
        <w:tc>
          <w:tcPr>
            <w:tcW w:w="1080" w:type="pct"/>
            <w:tcBorders>
              <w:top w:val="single" w:sz="4" w:space="0" w:color="999999"/>
              <w:bottom w:val="single" w:sz="4" w:space="0" w:color="999999"/>
            </w:tcBorders>
          </w:tcPr>
          <w:p w14:paraId="23453CA3" w14:textId="77777777" w:rsidR="00627CCE" w:rsidRPr="00007504" w:rsidRDefault="00627CCE" w:rsidP="00557C06">
            <w:pPr>
              <w:pStyle w:val="textbullets"/>
              <w:numPr>
                <w:ilvl w:val="0"/>
                <w:numId w:val="0"/>
              </w:numPr>
              <w:tabs>
                <w:tab w:val="clear" w:pos="964"/>
              </w:tabs>
              <w:spacing w:before="60" w:line="240" w:lineRule="auto"/>
              <w:ind w:left="964" w:right="6" w:hanging="397"/>
              <w:rPr>
                <w:rFonts w:cs="Arial"/>
                <w:szCs w:val="18"/>
              </w:rPr>
            </w:pPr>
          </w:p>
        </w:tc>
        <w:tc>
          <w:tcPr>
            <w:tcW w:w="3538" w:type="pct"/>
            <w:tcBorders>
              <w:top w:val="single" w:sz="4" w:space="0" w:color="999999"/>
              <w:bottom w:val="single" w:sz="4" w:space="0" w:color="999999"/>
            </w:tcBorders>
          </w:tcPr>
          <w:p w14:paraId="3233FB27" w14:textId="77777777" w:rsidR="00627CCE" w:rsidRPr="00557C06" w:rsidRDefault="00627CCE" w:rsidP="00E24ABF">
            <w:pPr>
              <w:pStyle w:val="Tabletextbullets"/>
              <w:rPr>
                <w:i/>
              </w:rPr>
            </w:pPr>
            <w:r w:rsidRPr="00557C06">
              <w:rPr>
                <w:i/>
              </w:rPr>
              <w:t>Introduction and overview to</w:t>
            </w:r>
            <w:r w:rsidR="00616E28">
              <w:rPr>
                <w:i/>
              </w:rPr>
              <w:t xml:space="preserve"> option</w:t>
            </w:r>
            <w:r w:rsidRPr="00557C06">
              <w:rPr>
                <w:i/>
              </w:rPr>
              <w:t xml:space="preserve">. How and why have </w:t>
            </w:r>
            <w:r>
              <w:rPr>
                <w:i/>
              </w:rPr>
              <w:t xml:space="preserve">the nature of warfare and the experience of war </w:t>
            </w:r>
            <w:r w:rsidRPr="00557C06">
              <w:rPr>
                <w:i/>
              </w:rPr>
              <w:t>changed over time?</w:t>
            </w:r>
          </w:p>
          <w:p w14:paraId="0F36DB04" w14:textId="77777777" w:rsidR="00627CCE" w:rsidRPr="00007504" w:rsidRDefault="00627CCE" w:rsidP="004B0662">
            <w:pPr>
              <w:pStyle w:val="Tabletextbullets"/>
              <w:rPr>
                <w:szCs w:val="18"/>
              </w:rPr>
            </w:pPr>
            <w:r w:rsidRPr="00557C06">
              <w:rPr>
                <w:i/>
              </w:rPr>
              <w:t xml:space="preserve">Overview of key features in the development of </w:t>
            </w:r>
            <w:r>
              <w:rPr>
                <w:i/>
              </w:rPr>
              <w:t xml:space="preserve">warfare </w:t>
            </w:r>
            <w:r w:rsidRPr="00557C06">
              <w:rPr>
                <w:i/>
              </w:rPr>
              <w:t>and how these were linked with the key features of society in Britain in the periods studied.</w:t>
            </w:r>
          </w:p>
        </w:tc>
      </w:tr>
      <w:tr w:rsidR="00627CCE" w:rsidRPr="002B4ED0" w14:paraId="11CED358" w14:textId="77777777" w:rsidTr="008D6666">
        <w:trPr>
          <w:cantSplit/>
          <w:trHeight w:val="400"/>
        </w:trPr>
        <w:tc>
          <w:tcPr>
            <w:tcW w:w="382" w:type="pct"/>
            <w:vMerge/>
            <w:shd w:val="clear" w:color="auto" w:fill="auto"/>
          </w:tcPr>
          <w:p w14:paraId="40869A31" w14:textId="77777777" w:rsidR="00627CCE" w:rsidRDefault="00627CCE" w:rsidP="008D6666">
            <w:pPr>
              <w:pStyle w:val="textbullets"/>
              <w:numPr>
                <w:ilvl w:val="0"/>
                <w:numId w:val="0"/>
              </w:numPr>
              <w:spacing w:before="60"/>
              <w:jc w:val="center"/>
              <w:rPr>
                <w:rFonts w:cs="Arial"/>
                <w:szCs w:val="18"/>
              </w:rPr>
            </w:pPr>
          </w:p>
        </w:tc>
        <w:tc>
          <w:tcPr>
            <w:tcW w:w="4618" w:type="pct"/>
            <w:gridSpan w:val="2"/>
            <w:tcBorders>
              <w:top w:val="single" w:sz="4" w:space="0" w:color="999999"/>
              <w:bottom w:val="single" w:sz="4" w:space="0" w:color="999999"/>
            </w:tcBorders>
          </w:tcPr>
          <w:p w14:paraId="06D6206C" w14:textId="77777777" w:rsidR="00627CCE" w:rsidRPr="006C399D" w:rsidRDefault="00627CCE" w:rsidP="006C399D">
            <w:pPr>
              <w:pStyle w:val="Tabletext"/>
              <w:rPr>
                <w:b/>
              </w:rPr>
            </w:pPr>
            <w:r>
              <w:rPr>
                <w:b/>
              </w:rPr>
              <w:t>c125</w:t>
            </w:r>
            <w:r w:rsidRPr="006C399D">
              <w:rPr>
                <w:b/>
              </w:rPr>
              <w:t xml:space="preserve">0–c1500: </w:t>
            </w:r>
            <w:r>
              <w:rPr>
                <w:b/>
              </w:rPr>
              <w:t>Medieval warfare</w:t>
            </w:r>
            <w:r w:rsidRPr="006C399D">
              <w:rPr>
                <w:b/>
              </w:rPr>
              <w:t xml:space="preserve"> </w:t>
            </w:r>
            <w:r>
              <w:rPr>
                <w:b/>
              </w:rPr>
              <w:t>and English society</w:t>
            </w:r>
          </w:p>
          <w:p w14:paraId="5FA681CF" w14:textId="77777777" w:rsidR="00627CCE" w:rsidRPr="00557C06" w:rsidRDefault="00627CCE" w:rsidP="00EB7BA3">
            <w:pPr>
              <w:pStyle w:val="Tabletextbullets"/>
              <w:rPr>
                <w:i/>
                <w:szCs w:val="18"/>
              </w:rPr>
            </w:pPr>
            <w:r w:rsidRPr="00557C06">
              <w:rPr>
                <w:i/>
              </w:rPr>
              <w:t xml:space="preserve">Brief overview of the period: medieval England. </w:t>
            </w:r>
          </w:p>
        </w:tc>
      </w:tr>
      <w:tr w:rsidR="00627CCE" w:rsidRPr="002B4ED0" w14:paraId="78DEAA2A" w14:textId="77777777" w:rsidTr="00247716">
        <w:trPr>
          <w:cantSplit/>
          <w:trHeight w:val="840"/>
        </w:trPr>
        <w:tc>
          <w:tcPr>
            <w:tcW w:w="382" w:type="pct"/>
            <w:vMerge/>
            <w:tcBorders>
              <w:bottom w:val="single" w:sz="4" w:space="0" w:color="999999"/>
            </w:tcBorders>
            <w:shd w:val="clear" w:color="auto" w:fill="auto"/>
          </w:tcPr>
          <w:p w14:paraId="468E9516" w14:textId="77777777" w:rsidR="00627CCE" w:rsidRDefault="00627CCE" w:rsidP="008D6666">
            <w:pPr>
              <w:pStyle w:val="textbullets"/>
              <w:numPr>
                <w:ilvl w:val="0"/>
                <w:numId w:val="0"/>
              </w:numPr>
              <w:tabs>
                <w:tab w:val="clear" w:pos="964"/>
              </w:tabs>
              <w:spacing w:before="60"/>
              <w:jc w:val="center"/>
              <w:rPr>
                <w:rFonts w:cs="Arial"/>
                <w:szCs w:val="18"/>
              </w:rPr>
            </w:pPr>
          </w:p>
        </w:tc>
        <w:tc>
          <w:tcPr>
            <w:tcW w:w="1080" w:type="pct"/>
            <w:vMerge w:val="restart"/>
            <w:tcBorders>
              <w:top w:val="single" w:sz="4" w:space="0" w:color="999999"/>
            </w:tcBorders>
          </w:tcPr>
          <w:p w14:paraId="66FA36B8" w14:textId="77777777" w:rsidR="00627CCE" w:rsidRPr="00007504" w:rsidRDefault="00627CCE" w:rsidP="00744640">
            <w:pPr>
              <w:pStyle w:val="Tabletext"/>
              <w:rPr>
                <w:szCs w:val="18"/>
              </w:rPr>
            </w:pPr>
            <w:r>
              <w:rPr>
                <w:szCs w:val="18"/>
              </w:rPr>
              <w:t>1</w:t>
            </w:r>
            <w:r>
              <w:rPr>
                <w:rFonts w:cs="Verdana"/>
                <w:szCs w:val="18"/>
              </w:rPr>
              <w:t xml:space="preserve"> </w:t>
            </w:r>
            <w:r w:rsidRPr="00542A8D">
              <w:rPr>
                <w:rFonts w:cs="Verdana"/>
                <w:szCs w:val="18"/>
              </w:rPr>
              <w:t>The nature of warfare</w:t>
            </w:r>
          </w:p>
        </w:tc>
        <w:tc>
          <w:tcPr>
            <w:tcW w:w="3538" w:type="pct"/>
            <w:vMerge w:val="restart"/>
            <w:tcBorders>
              <w:top w:val="single" w:sz="4" w:space="0" w:color="999999"/>
            </w:tcBorders>
          </w:tcPr>
          <w:p w14:paraId="281226DC" w14:textId="77777777" w:rsidR="00627CCE" w:rsidRPr="00542A8D" w:rsidRDefault="00627CCE" w:rsidP="00A675FC">
            <w:pPr>
              <w:pStyle w:val="Tabletextbullets"/>
            </w:pPr>
            <w:r w:rsidRPr="00542A8D">
              <w:t>The composition of the army, including the roles of the infantry, archer and the mounted knight. The link between social structure and army command.</w:t>
            </w:r>
          </w:p>
          <w:p w14:paraId="5B697C9E" w14:textId="77777777" w:rsidR="00627CCE" w:rsidRPr="00007504" w:rsidRDefault="00627CCE" w:rsidP="007A7B60">
            <w:pPr>
              <w:pStyle w:val="Tabletextbullets"/>
            </w:pPr>
            <w:r w:rsidRPr="00542A8D">
              <w:t>The impact on warfare (strategy, tactics and combat) of new weapons</w:t>
            </w:r>
            <w:r>
              <w:t xml:space="preserve"> and </w:t>
            </w:r>
            <w:r w:rsidR="007A7B60">
              <w:t>formations</w:t>
            </w:r>
            <w:r w:rsidRPr="00542A8D">
              <w:t xml:space="preserve">, including the longbow and </w:t>
            </w:r>
            <w:proofErr w:type="spellStart"/>
            <w:r w:rsidRPr="00542A8D">
              <w:t>schiltrons</w:t>
            </w:r>
            <w:proofErr w:type="spellEnd"/>
            <w:r w:rsidRPr="00542A8D">
              <w:t>. The importance of gunpowder and the development of cannon. The decline of the mounted knight.</w:t>
            </w:r>
          </w:p>
        </w:tc>
      </w:tr>
      <w:tr w:rsidR="00627CCE" w:rsidRPr="002B4ED0" w14:paraId="05A97D91" w14:textId="77777777" w:rsidTr="00247716">
        <w:trPr>
          <w:cantSplit/>
          <w:trHeight w:val="840"/>
        </w:trPr>
        <w:tc>
          <w:tcPr>
            <w:tcW w:w="382" w:type="pct"/>
            <w:vMerge w:val="restart"/>
            <w:shd w:val="clear" w:color="auto" w:fill="auto"/>
          </w:tcPr>
          <w:p w14:paraId="1132F543" w14:textId="77777777" w:rsidR="00627CCE" w:rsidRDefault="00627CCE" w:rsidP="008D6666">
            <w:pPr>
              <w:pStyle w:val="textbullets"/>
              <w:numPr>
                <w:ilvl w:val="0"/>
                <w:numId w:val="0"/>
              </w:numPr>
              <w:tabs>
                <w:tab w:val="clear" w:pos="964"/>
              </w:tabs>
              <w:spacing w:before="60"/>
              <w:jc w:val="center"/>
              <w:rPr>
                <w:rFonts w:cs="Arial"/>
                <w:szCs w:val="18"/>
              </w:rPr>
            </w:pPr>
            <w:r>
              <w:rPr>
                <w:rFonts w:cs="Arial"/>
                <w:szCs w:val="18"/>
              </w:rPr>
              <w:t>2</w:t>
            </w:r>
          </w:p>
        </w:tc>
        <w:tc>
          <w:tcPr>
            <w:tcW w:w="1080" w:type="pct"/>
            <w:vMerge/>
            <w:tcBorders>
              <w:bottom w:val="single" w:sz="4" w:space="0" w:color="999999"/>
            </w:tcBorders>
          </w:tcPr>
          <w:p w14:paraId="6AF7C34F" w14:textId="77777777" w:rsidR="00627CCE" w:rsidRDefault="00627CCE" w:rsidP="00744640">
            <w:pPr>
              <w:pStyle w:val="Tabletext"/>
              <w:rPr>
                <w:szCs w:val="18"/>
              </w:rPr>
            </w:pPr>
          </w:p>
        </w:tc>
        <w:tc>
          <w:tcPr>
            <w:tcW w:w="3538" w:type="pct"/>
            <w:vMerge/>
            <w:tcBorders>
              <w:bottom w:val="single" w:sz="4" w:space="0" w:color="999999"/>
            </w:tcBorders>
          </w:tcPr>
          <w:p w14:paraId="3E0CA1D7" w14:textId="77777777" w:rsidR="00627CCE" w:rsidRPr="00542A8D" w:rsidRDefault="00627CCE" w:rsidP="00A675FC">
            <w:pPr>
              <w:pStyle w:val="Tabletextbullets"/>
            </w:pPr>
          </w:p>
        </w:tc>
      </w:tr>
      <w:tr w:rsidR="00627CCE" w:rsidRPr="002B4ED0" w14:paraId="1E1E60C0" w14:textId="77777777" w:rsidTr="00247716">
        <w:trPr>
          <w:cantSplit/>
          <w:trHeight w:val="473"/>
        </w:trPr>
        <w:tc>
          <w:tcPr>
            <w:tcW w:w="382" w:type="pct"/>
            <w:vMerge/>
            <w:tcBorders>
              <w:bottom w:val="single" w:sz="4" w:space="0" w:color="999999"/>
            </w:tcBorders>
            <w:shd w:val="clear" w:color="auto" w:fill="auto"/>
          </w:tcPr>
          <w:p w14:paraId="5242C997" w14:textId="77777777" w:rsidR="00627CCE" w:rsidRDefault="00627CCE" w:rsidP="008D6666">
            <w:pPr>
              <w:pStyle w:val="textbullets"/>
              <w:numPr>
                <w:ilvl w:val="0"/>
                <w:numId w:val="0"/>
              </w:numPr>
              <w:tabs>
                <w:tab w:val="clear" w:pos="964"/>
              </w:tabs>
              <w:spacing w:before="60"/>
              <w:jc w:val="center"/>
              <w:rPr>
                <w:rFonts w:cs="Arial"/>
                <w:szCs w:val="18"/>
              </w:rPr>
            </w:pPr>
          </w:p>
        </w:tc>
        <w:tc>
          <w:tcPr>
            <w:tcW w:w="1080" w:type="pct"/>
            <w:vMerge w:val="restart"/>
            <w:tcBorders>
              <w:top w:val="single" w:sz="4" w:space="0" w:color="999999"/>
            </w:tcBorders>
          </w:tcPr>
          <w:p w14:paraId="673C7C3F" w14:textId="77777777" w:rsidR="00627CCE" w:rsidRPr="00BA636E" w:rsidRDefault="00627CCE" w:rsidP="006C399D">
            <w:pPr>
              <w:pStyle w:val="Tabletext"/>
            </w:pPr>
            <w:r w:rsidRPr="00542A8D">
              <w:rPr>
                <w:rFonts w:cs="Verdana"/>
                <w:szCs w:val="18"/>
              </w:rPr>
              <w:t>2 The experience of war</w:t>
            </w:r>
          </w:p>
        </w:tc>
        <w:tc>
          <w:tcPr>
            <w:tcW w:w="3538" w:type="pct"/>
            <w:vMerge w:val="restart"/>
            <w:tcBorders>
              <w:top w:val="single" w:sz="4" w:space="0" w:color="999999"/>
            </w:tcBorders>
          </w:tcPr>
          <w:p w14:paraId="1677674A" w14:textId="77777777" w:rsidR="00627CCE" w:rsidRPr="00542A8D" w:rsidRDefault="00627CCE" w:rsidP="00A675FC">
            <w:pPr>
              <w:pStyle w:val="Tabletextbullets"/>
            </w:pPr>
            <w:r w:rsidRPr="00542A8D">
              <w:t>The recruitment and training of combatants in the medieval feudal army.</w:t>
            </w:r>
          </w:p>
          <w:p w14:paraId="7DC232A8" w14:textId="77777777" w:rsidR="00627CCE" w:rsidRDefault="00627CCE" w:rsidP="00A675FC">
            <w:pPr>
              <w:pStyle w:val="Tabletextbullets"/>
            </w:pPr>
            <w:r w:rsidRPr="00542A8D">
              <w:t>The impact of war on civilians, including the impact of feudal duties and army plunder on civilian lives.</w:t>
            </w:r>
          </w:p>
        </w:tc>
      </w:tr>
      <w:tr w:rsidR="00627CCE" w:rsidRPr="002B4ED0" w14:paraId="621622F3" w14:textId="77777777" w:rsidTr="00247716">
        <w:trPr>
          <w:cantSplit/>
          <w:trHeight w:val="472"/>
        </w:trPr>
        <w:tc>
          <w:tcPr>
            <w:tcW w:w="382" w:type="pct"/>
            <w:vMerge w:val="restart"/>
            <w:tcBorders>
              <w:top w:val="single" w:sz="4" w:space="0" w:color="999999"/>
            </w:tcBorders>
            <w:shd w:val="clear" w:color="auto" w:fill="auto"/>
          </w:tcPr>
          <w:p w14:paraId="0E727A33" w14:textId="77777777" w:rsidR="00627CCE" w:rsidRDefault="00627CCE" w:rsidP="008D6666">
            <w:pPr>
              <w:pStyle w:val="textbullets"/>
              <w:numPr>
                <w:ilvl w:val="0"/>
                <w:numId w:val="0"/>
              </w:numPr>
              <w:tabs>
                <w:tab w:val="clear" w:pos="964"/>
              </w:tabs>
              <w:spacing w:before="60"/>
              <w:jc w:val="center"/>
              <w:rPr>
                <w:rFonts w:cs="Arial"/>
                <w:szCs w:val="18"/>
              </w:rPr>
            </w:pPr>
            <w:r>
              <w:rPr>
                <w:rFonts w:cs="Arial"/>
                <w:szCs w:val="18"/>
              </w:rPr>
              <w:t>3</w:t>
            </w:r>
          </w:p>
        </w:tc>
        <w:tc>
          <w:tcPr>
            <w:tcW w:w="1080" w:type="pct"/>
            <w:vMerge/>
            <w:tcBorders>
              <w:bottom w:val="single" w:sz="4" w:space="0" w:color="999999"/>
            </w:tcBorders>
          </w:tcPr>
          <w:p w14:paraId="58C69ED6" w14:textId="77777777" w:rsidR="00627CCE" w:rsidRPr="00542A8D" w:rsidRDefault="00627CCE" w:rsidP="006C399D">
            <w:pPr>
              <w:pStyle w:val="Tabletext"/>
              <w:rPr>
                <w:rFonts w:cs="Verdana"/>
                <w:szCs w:val="18"/>
              </w:rPr>
            </w:pPr>
          </w:p>
        </w:tc>
        <w:tc>
          <w:tcPr>
            <w:tcW w:w="3538" w:type="pct"/>
            <w:vMerge/>
            <w:tcBorders>
              <w:bottom w:val="single" w:sz="4" w:space="0" w:color="999999"/>
            </w:tcBorders>
          </w:tcPr>
          <w:p w14:paraId="56C86D4E" w14:textId="77777777" w:rsidR="00627CCE" w:rsidRPr="00542A8D" w:rsidRDefault="00627CCE" w:rsidP="00A675FC">
            <w:pPr>
              <w:pStyle w:val="Tabletextbullets"/>
            </w:pPr>
          </w:p>
        </w:tc>
      </w:tr>
      <w:tr w:rsidR="00627CCE" w:rsidRPr="002B4ED0" w14:paraId="6DB3C72D" w14:textId="77777777" w:rsidTr="00247716">
        <w:trPr>
          <w:cantSplit/>
          <w:trHeight w:val="400"/>
        </w:trPr>
        <w:tc>
          <w:tcPr>
            <w:tcW w:w="382" w:type="pct"/>
            <w:vMerge/>
            <w:tcBorders>
              <w:bottom w:val="single" w:sz="4" w:space="0" w:color="999999"/>
            </w:tcBorders>
            <w:shd w:val="clear" w:color="auto" w:fill="auto"/>
          </w:tcPr>
          <w:p w14:paraId="0647A769" w14:textId="77777777" w:rsidR="00627CCE" w:rsidRDefault="00627CCE" w:rsidP="008D6666">
            <w:pPr>
              <w:pStyle w:val="textbullets"/>
              <w:numPr>
                <w:ilvl w:val="0"/>
                <w:numId w:val="0"/>
              </w:numPr>
              <w:tabs>
                <w:tab w:val="clear" w:pos="964"/>
              </w:tabs>
              <w:spacing w:before="60"/>
              <w:jc w:val="center"/>
              <w:rPr>
                <w:rFonts w:cs="Arial"/>
                <w:szCs w:val="18"/>
              </w:rPr>
            </w:pPr>
          </w:p>
        </w:tc>
        <w:tc>
          <w:tcPr>
            <w:tcW w:w="1080" w:type="pct"/>
            <w:tcBorders>
              <w:top w:val="single" w:sz="4" w:space="0" w:color="999999"/>
              <w:bottom w:val="single" w:sz="4" w:space="0" w:color="999999"/>
            </w:tcBorders>
          </w:tcPr>
          <w:p w14:paraId="05EE268A" w14:textId="77777777" w:rsidR="00627CCE" w:rsidRPr="00BA636E" w:rsidRDefault="00627CCE" w:rsidP="006C399D">
            <w:pPr>
              <w:pStyle w:val="Tabletext"/>
            </w:pPr>
            <w:r>
              <w:t>3</w:t>
            </w:r>
            <w:r w:rsidRPr="00BA636E">
              <w:t xml:space="preserve"> Case studies</w:t>
            </w:r>
          </w:p>
        </w:tc>
        <w:tc>
          <w:tcPr>
            <w:tcW w:w="3538" w:type="pct"/>
            <w:tcBorders>
              <w:top w:val="single" w:sz="4" w:space="0" w:color="999999"/>
              <w:bottom w:val="single" w:sz="4" w:space="0" w:color="999999"/>
            </w:tcBorders>
          </w:tcPr>
          <w:p w14:paraId="1C4922E0" w14:textId="77777777" w:rsidR="00627CCE" w:rsidRDefault="00627CCE" w:rsidP="00A675FC">
            <w:pPr>
              <w:pStyle w:val="Tabletextbullets"/>
            </w:pPr>
            <w:r w:rsidRPr="00542A8D">
              <w:t>The Battle of Falkirk</w:t>
            </w:r>
            <w:r w:rsidR="00BA460D">
              <w:t xml:space="preserve"> (</w:t>
            </w:r>
            <w:r w:rsidRPr="00542A8D">
              <w:t>1298</w:t>
            </w:r>
            <w:r w:rsidR="00BA460D">
              <w:t>)</w:t>
            </w:r>
            <w:r w:rsidRPr="00542A8D">
              <w:t xml:space="preserve">: reasons for its outcome; the roles of William Wallace and Edward I. </w:t>
            </w:r>
          </w:p>
          <w:p w14:paraId="3CCB9B54" w14:textId="77777777" w:rsidR="00627CCE" w:rsidRPr="00A675FC" w:rsidRDefault="00627CCE" w:rsidP="00A675FC">
            <w:pPr>
              <w:pStyle w:val="Tabletextbullets"/>
              <w:rPr>
                <w:i/>
              </w:rPr>
            </w:pPr>
            <w:r>
              <w:t xml:space="preserve">The </w:t>
            </w:r>
            <w:r w:rsidRPr="00542A8D">
              <w:t>Battle of Agincourt</w:t>
            </w:r>
            <w:r w:rsidR="00BA460D">
              <w:t xml:space="preserve"> (</w:t>
            </w:r>
            <w:r w:rsidRPr="00542A8D">
              <w:t>1415</w:t>
            </w:r>
            <w:r w:rsidR="00BA460D">
              <w:t>)</w:t>
            </w:r>
            <w:r w:rsidRPr="00542A8D">
              <w:t>: reasons for its outcome; the role of Henry V.</w:t>
            </w:r>
          </w:p>
          <w:p w14:paraId="6A12C8F1" w14:textId="77777777" w:rsidR="00627CCE" w:rsidRPr="00557C06" w:rsidRDefault="00627CCE" w:rsidP="00A675FC">
            <w:pPr>
              <w:pStyle w:val="Tabletextbullets"/>
              <w:rPr>
                <w:i/>
              </w:rPr>
            </w:pPr>
            <w:r w:rsidRPr="00557C06">
              <w:rPr>
                <w:i/>
              </w:rPr>
              <w:t xml:space="preserve">Summary of </w:t>
            </w:r>
            <w:r>
              <w:rPr>
                <w:i/>
              </w:rPr>
              <w:t>the influence</w:t>
            </w:r>
            <w:r w:rsidRPr="00557C06">
              <w:rPr>
                <w:i/>
              </w:rPr>
              <w:t xml:space="preserve"> of key factors </w:t>
            </w:r>
            <w:r>
              <w:rPr>
                <w:i/>
              </w:rPr>
              <w:t xml:space="preserve">on change and continuity </w:t>
            </w:r>
            <w:r w:rsidRPr="00557C06">
              <w:rPr>
                <w:i/>
              </w:rPr>
              <w:t xml:space="preserve">in </w:t>
            </w:r>
            <w:r>
              <w:rPr>
                <w:i/>
              </w:rPr>
              <w:t>the years c1250–c1500</w:t>
            </w:r>
            <w:r w:rsidRPr="00557C06">
              <w:rPr>
                <w:i/>
              </w:rPr>
              <w:t>.</w:t>
            </w:r>
          </w:p>
        </w:tc>
      </w:tr>
      <w:tr w:rsidR="008A3601" w:rsidRPr="002B4ED0" w14:paraId="217FCE2B" w14:textId="77777777" w:rsidTr="008D6666">
        <w:trPr>
          <w:cantSplit/>
          <w:trHeight w:val="400"/>
        </w:trPr>
        <w:tc>
          <w:tcPr>
            <w:tcW w:w="382" w:type="pct"/>
            <w:vMerge w:val="restart"/>
            <w:tcBorders>
              <w:top w:val="single" w:sz="4" w:space="0" w:color="999999"/>
            </w:tcBorders>
            <w:shd w:val="clear" w:color="auto" w:fill="auto"/>
          </w:tcPr>
          <w:p w14:paraId="24ECEC54" w14:textId="77777777" w:rsidR="008A3601" w:rsidRDefault="009B43F6" w:rsidP="008D6666">
            <w:pPr>
              <w:pStyle w:val="textbullets"/>
              <w:numPr>
                <w:ilvl w:val="0"/>
                <w:numId w:val="0"/>
              </w:numPr>
              <w:spacing w:before="60"/>
              <w:jc w:val="center"/>
              <w:rPr>
                <w:rFonts w:cs="Arial"/>
                <w:szCs w:val="18"/>
              </w:rPr>
            </w:pPr>
            <w:r>
              <w:rPr>
                <w:rFonts w:cs="Arial"/>
                <w:szCs w:val="18"/>
              </w:rPr>
              <w:t>4</w:t>
            </w:r>
          </w:p>
        </w:tc>
        <w:tc>
          <w:tcPr>
            <w:tcW w:w="4618" w:type="pct"/>
            <w:gridSpan w:val="2"/>
            <w:tcBorders>
              <w:top w:val="single" w:sz="4" w:space="0" w:color="999999"/>
              <w:bottom w:val="single" w:sz="4" w:space="0" w:color="999999"/>
            </w:tcBorders>
          </w:tcPr>
          <w:p w14:paraId="30332A68" w14:textId="77777777" w:rsidR="008A3601" w:rsidRPr="006C399D" w:rsidRDefault="008A3601" w:rsidP="006C399D">
            <w:pPr>
              <w:pStyle w:val="Tabletext"/>
              <w:rPr>
                <w:b/>
              </w:rPr>
            </w:pPr>
            <w:r w:rsidRPr="006C399D">
              <w:rPr>
                <w:b/>
              </w:rPr>
              <w:t xml:space="preserve">c1500–c1700: </w:t>
            </w:r>
            <w:r w:rsidR="00744640">
              <w:rPr>
                <w:b/>
              </w:rPr>
              <w:t>Warfare and English society</w:t>
            </w:r>
            <w:r w:rsidR="0018644E">
              <w:rPr>
                <w:b/>
              </w:rPr>
              <w:t xml:space="preserve"> in </w:t>
            </w:r>
            <w:r w:rsidR="00744640">
              <w:rPr>
                <w:b/>
              </w:rPr>
              <w:t xml:space="preserve">the </w:t>
            </w:r>
            <w:r w:rsidR="0018644E">
              <w:rPr>
                <w:b/>
              </w:rPr>
              <w:t>early modern</w:t>
            </w:r>
            <w:r w:rsidRPr="006C399D">
              <w:rPr>
                <w:b/>
              </w:rPr>
              <w:t xml:space="preserve"> </w:t>
            </w:r>
            <w:r w:rsidR="00744640">
              <w:rPr>
                <w:b/>
              </w:rPr>
              <w:t>period</w:t>
            </w:r>
          </w:p>
          <w:p w14:paraId="35EEB418" w14:textId="77777777" w:rsidR="008A3601" w:rsidRPr="00557C06" w:rsidRDefault="008A3601" w:rsidP="00DB6F40">
            <w:pPr>
              <w:pStyle w:val="Tabletextbullets"/>
              <w:rPr>
                <w:i/>
                <w:szCs w:val="18"/>
              </w:rPr>
            </w:pPr>
            <w:r w:rsidRPr="00557C06">
              <w:rPr>
                <w:i/>
              </w:rPr>
              <w:t>Brief overview of the period: Britain 1500</w:t>
            </w:r>
            <w:r w:rsidR="00DB6F40">
              <w:rPr>
                <w:i/>
              </w:rPr>
              <w:t>–</w:t>
            </w:r>
            <w:r w:rsidRPr="00557C06">
              <w:rPr>
                <w:i/>
              </w:rPr>
              <w:t xml:space="preserve">1700. </w:t>
            </w:r>
          </w:p>
        </w:tc>
      </w:tr>
      <w:tr w:rsidR="00A675FC" w:rsidRPr="002B4ED0" w14:paraId="39BB55F2" w14:textId="77777777" w:rsidTr="00247716">
        <w:trPr>
          <w:cantSplit/>
          <w:trHeight w:val="400"/>
        </w:trPr>
        <w:tc>
          <w:tcPr>
            <w:tcW w:w="382" w:type="pct"/>
            <w:vMerge/>
            <w:tcBorders>
              <w:bottom w:val="single" w:sz="4" w:space="0" w:color="999999"/>
            </w:tcBorders>
            <w:shd w:val="clear" w:color="auto" w:fill="auto"/>
          </w:tcPr>
          <w:p w14:paraId="3F150C1B" w14:textId="77777777" w:rsidR="00A675FC" w:rsidRDefault="00A675FC" w:rsidP="008D6666">
            <w:pPr>
              <w:pStyle w:val="textbullets"/>
              <w:numPr>
                <w:ilvl w:val="0"/>
                <w:numId w:val="0"/>
              </w:numPr>
              <w:tabs>
                <w:tab w:val="clear" w:pos="964"/>
              </w:tabs>
              <w:spacing w:before="60"/>
              <w:jc w:val="center"/>
              <w:rPr>
                <w:rFonts w:cs="Arial"/>
                <w:szCs w:val="18"/>
              </w:rPr>
            </w:pPr>
          </w:p>
        </w:tc>
        <w:tc>
          <w:tcPr>
            <w:tcW w:w="1080" w:type="pct"/>
            <w:tcBorders>
              <w:top w:val="single" w:sz="4" w:space="0" w:color="999999"/>
              <w:bottom w:val="single" w:sz="4" w:space="0" w:color="999999"/>
            </w:tcBorders>
          </w:tcPr>
          <w:p w14:paraId="257E4266" w14:textId="77777777" w:rsidR="00A675FC" w:rsidRPr="00007504" w:rsidRDefault="00A675FC" w:rsidP="00687A5B">
            <w:pPr>
              <w:pStyle w:val="Tabletext"/>
              <w:rPr>
                <w:szCs w:val="18"/>
              </w:rPr>
            </w:pPr>
            <w:r>
              <w:rPr>
                <w:szCs w:val="18"/>
              </w:rPr>
              <w:t>1</w:t>
            </w:r>
            <w:r>
              <w:rPr>
                <w:rFonts w:cs="Verdana"/>
                <w:szCs w:val="18"/>
              </w:rPr>
              <w:t xml:space="preserve"> </w:t>
            </w:r>
            <w:r w:rsidRPr="00542A8D">
              <w:rPr>
                <w:rFonts w:cs="Verdana"/>
                <w:szCs w:val="18"/>
              </w:rPr>
              <w:t>The nature of warfare</w:t>
            </w:r>
          </w:p>
        </w:tc>
        <w:tc>
          <w:tcPr>
            <w:tcW w:w="3538" w:type="pct"/>
            <w:tcBorders>
              <w:top w:val="single" w:sz="4" w:space="0" w:color="999999"/>
              <w:bottom w:val="single" w:sz="4" w:space="0" w:color="999999"/>
            </w:tcBorders>
          </w:tcPr>
          <w:p w14:paraId="77C60DAE" w14:textId="77777777" w:rsidR="00A675FC" w:rsidRPr="00542A8D" w:rsidRDefault="00A675FC" w:rsidP="00DB6F40">
            <w:pPr>
              <w:pStyle w:val="Tabletextbullets"/>
            </w:pPr>
            <w:r w:rsidRPr="00542A8D">
              <w:t>Continuity and change in the composition of the army</w:t>
            </w:r>
            <w:r>
              <w:t xml:space="preserve"> in the sixteenth and seventeenth centuries</w:t>
            </w:r>
            <w:r w:rsidRPr="00542A8D">
              <w:t>, including the role of the musketeer, pikemen and the cavalry. The development of a standing army.</w:t>
            </w:r>
          </w:p>
          <w:p w14:paraId="0407C91F" w14:textId="77777777" w:rsidR="00A675FC" w:rsidRPr="00542A8D" w:rsidRDefault="00A675FC" w:rsidP="00DB6F40">
            <w:pPr>
              <w:pStyle w:val="Tabletextbullets"/>
            </w:pPr>
            <w:r w:rsidRPr="00542A8D">
              <w:t>The impact on warfare of developments in weaponry</w:t>
            </w:r>
            <w:r>
              <w:t>,</w:t>
            </w:r>
            <w:r w:rsidRPr="00542A8D">
              <w:t xml:space="preserve"> including new muskets and pistols.</w:t>
            </w:r>
          </w:p>
        </w:tc>
      </w:tr>
      <w:tr w:rsidR="00A675FC" w:rsidRPr="002B4ED0" w14:paraId="32935AB5" w14:textId="77777777" w:rsidTr="00247716">
        <w:trPr>
          <w:cantSplit/>
          <w:trHeight w:val="400"/>
        </w:trPr>
        <w:tc>
          <w:tcPr>
            <w:tcW w:w="382" w:type="pct"/>
            <w:tcBorders>
              <w:top w:val="single" w:sz="4" w:space="0" w:color="999999"/>
              <w:bottom w:val="single" w:sz="4" w:space="0" w:color="999999"/>
            </w:tcBorders>
            <w:shd w:val="clear" w:color="auto" w:fill="auto"/>
          </w:tcPr>
          <w:p w14:paraId="62DCFAC8" w14:textId="77777777" w:rsidR="00A675FC" w:rsidRDefault="009B43F6" w:rsidP="008D6666">
            <w:pPr>
              <w:pStyle w:val="textbullets"/>
              <w:numPr>
                <w:ilvl w:val="0"/>
                <w:numId w:val="0"/>
              </w:numPr>
              <w:tabs>
                <w:tab w:val="clear" w:pos="964"/>
              </w:tabs>
              <w:spacing w:before="60"/>
              <w:jc w:val="center"/>
              <w:rPr>
                <w:rFonts w:cs="Arial"/>
                <w:szCs w:val="18"/>
              </w:rPr>
            </w:pPr>
            <w:r>
              <w:rPr>
                <w:rFonts w:cs="Arial"/>
                <w:szCs w:val="18"/>
              </w:rPr>
              <w:lastRenderedPageBreak/>
              <w:t>5</w:t>
            </w:r>
          </w:p>
        </w:tc>
        <w:tc>
          <w:tcPr>
            <w:tcW w:w="1080" w:type="pct"/>
            <w:tcBorders>
              <w:top w:val="single" w:sz="4" w:space="0" w:color="999999"/>
              <w:bottom w:val="single" w:sz="4" w:space="0" w:color="999999"/>
            </w:tcBorders>
          </w:tcPr>
          <w:p w14:paraId="528DAAA3" w14:textId="77777777" w:rsidR="00A675FC" w:rsidRPr="00BA636E" w:rsidRDefault="00A675FC" w:rsidP="00687A5B">
            <w:pPr>
              <w:pStyle w:val="Tabletext"/>
            </w:pPr>
            <w:r w:rsidRPr="00542A8D">
              <w:rPr>
                <w:rFonts w:cs="Verdana"/>
                <w:szCs w:val="18"/>
              </w:rPr>
              <w:t>2 The experience of war</w:t>
            </w:r>
          </w:p>
        </w:tc>
        <w:tc>
          <w:tcPr>
            <w:tcW w:w="3538" w:type="pct"/>
            <w:tcBorders>
              <w:top w:val="single" w:sz="4" w:space="0" w:color="999999"/>
              <w:bottom w:val="single" w:sz="4" w:space="0" w:color="999999"/>
            </w:tcBorders>
          </w:tcPr>
          <w:p w14:paraId="1FD82335" w14:textId="77777777" w:rsidR="00A675FC" w:rsidRPr="00F9162A" w:rsidRDefault="00A675FC" w:rsidP="00DB6F40">
            <w:pPr>
              <w:pStyle w:val="Tabletextbullets"/>
            </w:pPr>
            <w:r w:rsidRPr="00F9162A">
              <w:t>The recruitment and training of combatants, including the New Model Army.</w:t>
            </w:r>
          </w:p>
          <w:p w14:paraId="41CB62A0" w14:textId="77777777" w:rsidR="00A675FC" w:rsidRPr="00F9162A" w:rsidRDefault="00A675FC" w:rsidP="00DB6F40">
            <w:pPr>
              <w:pStyle w:val="Tabletextbullets"/>
            </w:pPr>
            <w:r w:rsidRPr="00F9162A">
              <w:t>The impact of war on civilians, including recruitment and requisitioning.</w:t>
            </w:r>
          </w:p>
        </w:tc>
      </w:tr>
      <w:tr w:rsidR="00421A7D" w:rsidRPr="002B4ED0" w14:paraId="143956F0" w14:textId="77777777" w:rsidTr="00247716">
        <w:trPr>
          <w:cantSplit/>
          <w:trHeight w:val="400"/>
        </w:trPr>
        <w:tc>
          <w:tcPr>
            <w:tcW w:w="382" w:type="pct"/>
            <w:tcBorders>
              <w:top w:val="single" w:sz="4" w:space="0" w:color="999999"/>
              <w:bottom w:val="single" w:sz="4" w:space="0" w:color="999999"/>
            </w:tcBorders>
            <w:shd w:val="clear" w:color="auto" w:fill="auto"/>
          </w:tcPr>
          <w:p w14:paraId="5A0BAFA3" w14:textId="77777777" w:rsidR="00421A7D" w:rsidRDefault="009B43F6" w:rsidP="008D6666">
            <w:pPr>
              <w:pStyle w:val="textbullets"/>
              <w:numPr>
                <w:ilvl w:val="0"/>
                <w:numId w:val="0"/>
              </w:numPr>
              <w:tabs>
                <w:tab w:val="clear" w:pos="964"/>
              </w:tabs>
              <w:spacing w:before="60"/>
              <w:jc w:val="center"/>
              <w:rPr>
                <w:rFonts w:cs="Arial"/>
                <w:szCs w:val="18"/>
              </w:rPr>
            </w:pPr>
            <w:r>
              <w:rPr>
                <w:rFonts w:cs="Arial"/>
                <w:szCs w:val="18"/>
              </w:rPr>
              <w:t>6</w:t>
            </w:r>
          </w:p>
        </w:tc>
        <w:tc>
          <w:tcPr>
            <w:tcW w:w="1080" w:type="pct"/>
            <w:tcBorders>
              <w:top w:val="single" w:sz="4" w:space="0" w:color="999999"/>
              <w:bottom w:val="single" w:sz="4" w:space="0" w:color="999999"/>
            </w:tcBorders>
          </w:tcPr>
          <w:p w14:paraId="0D5DF0E9" w14:textId="77777777" w:rsidR="00D3568E" w:rsidRDefault="00421A7D" w:rsidP="00687A5B">
            <w:pPr>
              <w:pStyle w:val="Tabletext"/>
            </w:pPr>
            <w:r>
              <w:t>3</w:t>
            </w:r>
            <w:r w:rsidRPr="00BA636E">
              <w:t xml:space="preserve"> Case studies</w:t>
            </w:r>
          </w:p>
          <w:p w14:paraId="67EFD550" w14:textId="77777777" w:rsidR="00D3568E" w:rsidRPr="00D3568E" w:rsidRDefault="00D3568E" w:rsidP="00687A5B">
            <w:pPr>
              <w:pStyle w:val="Tabletext"/>
              <w:rPr>
                <w:i/>
              </w:rPr>
            </w:pPr>
            <w:r>
              <w:rPr>
                <w:i/>
              </w:rPr>
              <w:t xml:space="preserve">Review </w:t>
            </w:r>
          </w:p>
        </w:tc>
        <w:tc>
          <w:tcPr>
            <w:tcW w:w="3538" w:type="pct"/>
            <w:tcBorders>
              <w:top w:val="single" w:sz="4" w:space="0" w:color="999999"/>
              <w:bottom w:val="single" w:sz="4" w:space="0" w:color="999999"/>
            </w:tcBorders>
          </w:tcPr>
          <w:p w14:paraId="76D74084" w14:textId="77777777" w:rsidR="009836CD" w:rsidRPr="009836CD" w:rsidRDefault="00A675FC" w:rsidP="0055106C">
            <w:pPr>
              <w:pStyle w:val="Tabletextbullets"/>
            </w:pPr>
            <w:r w:rsidRPr="00F9162A">
              <w:rPr>
                <w:szCs w:val="18"/>
              </w:rPr>
              <w:t>The Battle of Naseby</w:t>
            </w:r>
            <w:r w:rsidR="002B2F84">
              <w:rPr>
                <w:szCs w:val="18"/>
              </w:rPr>
              <w:t xml:space="preserve"> (</w:t>
            </w:r>
            <w:r w:rsidRPr="00F9162A">
              <w:rPr>
                <w:szCs w:val="18"/>
              </w:rPr>
              <w:t>1645</w:t>
            </w:r>
            <w:r w:rsidR="002B2F84">
              <w:rPr>
                <w:szCs w:val="18"/>
              </w:rPr>
              <w:t>)</w:t>
            </w:r>
            <w:r w:rsidRPr="00F9162A">
              <w:rPr>
                <w:szCs w:val="18"/>
              </w:rPr>
              <w:t>: reasons for its outcome; the role of Oliver Cromwell.</w:t>
            </w:r>
          </w:p>
          <w:p w14:paraId="3AD2FBB8" w14:textId="77777777" w:rsidR="00D3568E" w:rsidRPr="00FE2379" w:rsidRDefault="00D3568E" w:rsidP="00D3568E">
            <w:pPr>
              <w:pStyle w:val="Tabletextbullets"/>
              <w:rPr>
                <w:i/>
              </w:rPr>
            </w:pPr>
            <w:r w:rsidRPr="00FE2379">
              <w:rPr>
                <w:i/>
              </w:rPr>
              <w:t>How much changed in the weapons and tactics used during this period? What impact did this have on the composition of the army and the nature of warfare?</w:t>
            </w:r>
          </w:p>
          <w:p w14:paraId="4B0F8DBF" w14:textId="77777777" w:rsidR="00D3568E" w:rsidRPr="00FE2379" w:rsidRDefault="00D3568E" w:rsidP="00D3568E">
            <w:pPr>
              <w:pStyle w:val="Tabletextbullets"/>
            </w:pPr>
            <w:r w:rsidRPr="00FE2379">
              <w:rPr>
                <w:i/>
              </w:rPr>
              <w:t>How much changed in the recruitment and training of soldiers? How much changed in the experiences of war for civilians?</w:t>
            </w:r>
          </w:p>
          <w:p w14:paraId="2EBDB24D" w14:textId="77777777" w:rsidR="00D3568E" w:rsidRPr="00FE2379" w:rsidRDefault="00D3568E" w:rsidP="00D3568E">
            <w:pPr>
              <w:pStyle w:val="Tabletextbullets"/>
            </w:pPr>
            <w:r w:rsidRPr="00FE2379">
              <w:rPr>
                <w:i/>
              </w:rPr>
              <w:t xml:space="preserve">What factors affected the extent of continuity and change </w:t>
            </w:r>
            <w:r>
              <w:rPr>
                <w:i/>
              </w:rPr>
              <w:t>c</w:t>
            </w:r>
            <w:r w:rsidRPr="00FE2379">
              <w:rPr>
                <w:i/>
              </w:rPr>
              <w:t>1500</w:t>
            </w:r>
            <w:r>
              <w:rPr>
                <w:i/>
              </w:rPr>
              <w:t>–c</w:t>
            </w:r>
            <w:r w:rsidRPr="00FE2379">
              <w:rPr>
                <w:i/>
              </w:rPr>
              <w:t>1700?</w:t>
            </w:r>
          </w:p>
          <w:p w14:paraId="3E6E0C9D" w14:textId="77777777" w:rsidR="00D3568E" w:rsidRPr="00FE2379" w:rsidRDefault="00D3568E" w:rsidP="00D3568E">
            <w:pPr>
              <w:pStyle w:val="Tabletextbullets"/>
            </w:pPr>
            <w:r>
              <w:rPr>
                <w:i/>
              </w:rPr>
              <w:t xml:space="preserve">How much did the role of leader change from c1250–c1700? </w:t>
            </w:r>
          </w:p>
          <w:p w14:paraId="1EE6B84E" w14:textId="77777777" w:rsidR="00421A7D" w:rsidRPr="00DC4EB6" w:rsidRDefault="00D3568E" w:rsidP="00D3568E">
            <w:pPr>
              <w:pStyle w:val="Tabletextbullets"/>
              <w:numPr>
                <w:ilvl w:val="0"/>
                <w:numId w:val="30"/>
              </w:numPr>
              <w:rPr>
                <w:i/>
              </w:rPr>
            </w:pPr>
            <w:r>
              <w:rPr>
                <w:i/>
              </w:rPr>
              <w:t>How much changed in the nature of and experience of warfare in the period c1250–1700?</w:t>
            </w:r>
          </w:p>
        </w:tc>
      </w:tr>
      <w:tr w:rsidR="008A3601" w:rsidRPr="002B4ED0" w14:paraId="6B923EF5" w14:textId="77777777" w:rsidTr="008D6666">
        <w:trPr>
          <w:cantSplit/>
          <w:trHeight w:val="400"/>
        </w:trPr>
        <w:tc>
          <w:tcPr>
            <w:tcW w:w="382" w:type="pct"/>
            <w:vMerge w:val="restart"/>
            <w:tcBorders>
              <w:top w:val="single" w:sz="4" w:space="0" w:color="999999"/>
            </w:tcBorders>
            <w:shd w:val="clear" w:color="auto" w:fill="auto"/>
          </w:tcPr>
          <w:p w14:paraId="76C8FD6A" w14:textId="77777777" w:rsidR="008A3601" w:rsidRDefault="009B43F6" w:rsidP="008D6666">
            <w:pPr>
              <w:pStyle w:val="textbullets"/>
              <w:numPr>
                <w:ilvl w:val="0"/>
                <w:numId w:val="0"/>
              </w:numPr>
              <w:spacing w:before="60"/>
              <w:jc w:val="center"/>
              <w:rPr>
                <w:rFonts w:cs="Arial"/>
                <w:szCs w:val="18"/>
              </w:rPr>
            </w:pPr>
            <w:r>
              <w:rPr>
                <w:rFonts w:cs="Arial"/>
                <w:szCs w:val="18"/>
              </w:rPr>
              <w:t>7</w:t>
            </w:r>
          </w:p>
        </w:tc>
        <w:tc>
          <w:tcPr>
            <w:tcW w:w="4618" w:type="pct"/>
            <w:gridSpan w:val="2"/>
            <w:tcBorders>
              <w:top w:val="single" w:sz="4" w:space="0" w:color="999999"/>
              <w:bottom w:val="single" w:sz="4" w:space="0" w:color="999999"/>
            </w:tcBorders>
          </w:tcPr>
          <w:p w14:paraId="17AECF9C" w14:textId="77777777" w:rsidR="008A3601" w:rsidRPr="006C399D" w:rsidRDefault="008A3601" w:rsidP="006C399D">
            <w:pPr>
              <w:pStyle w:val="Tabletext"/>
              <w:rPr>
                <w:b/>
              </w:rPr>
            </w:pPr>
            <w:r w:rsidRPr="006C399D">
              <w:rPr>
                <w:b/>
              </w:rPr>
              <w:t xml:space="preserve">c1700–c1900: </w:t>
            </w:r>
            <w:r w:rsidR="00BB31BB">
              <w:rPr>
                <w:b/>
              </w:rPr>
              <w:t>Warfare and British society</w:t>
            </w:r>
            <w:r w:rsidR="00421A7D">
              <w:rPr>
                <w:b/>
              </w:rPr>
              <w:t xml:space="preserve"> in</w:t>
            </w:r>
            <w:r w:rsidR="00421A7D" w:rsidRPr="006C399D">
              <w:rPr>
                <w:b/>
              </w:rPr>
              <w:t xml:space="preserve"> </w:t>
            </w:r>
            <w:r w:rsidR="00BB31BB">
              <w:rPr>
                <w:b/>
              </w:rPr>
              <w:t xml:space="preserve">the </w:t>
            </w:r>
            <w:r w:rsidRPr="006C399D">
              <w:rPr>
                <w:b/>
              </w:rPr>
              <w:t>eighteenth and nineteenth</w:t>
            </w:r>
            <w:r w:rsidR="00BB31BB">
              <w:rPr>
                <w:b/>
              </w:rPr>
              <w:t xml:space="preserve"> centuries</w:t>
            </w:r>
          </w:p>
          <w:p w14:paraId="285F5024" w14:textId="77777777" w:rsidR="008A3601" w:rsidRPr="00557C06" w:rsidRDefault="008A3601" w:rsidP="00442C8E">
            <w:pPr>
              <w:pStyle w:val="Tabletextbullets"/>
              <w:rPr>
                <w:i/>
                <w:szCs w:val="18"/>
              </w:rPr>
            </w:pPr>
            <w:r w:rsidRPr="00557C06">
              <w:rPr>
                <w:i/>
              </w:rPr>
              <w:t>Brief overview of the period: Britain 1700</w:t>
            </w:r>
            <w:r w:rsidR="00442C8E">
              <w:rPr>
                <w:i/>
              </w:rPr>
              <w:t>–</w:t>
            </w:r>
            <w:r w:rsidRPr="00557C06">
              <w:rPr>
                <w:i/>
              </w:rPr>
              <w:t>1900.</w:t>
            </w:r>
          </w:p>
        </w:tc>
      </w:tr>
      <w:tr w:rsidR="00FE2379" w:rsidRPr="002B4ED0" w14:paraId="7AB43DB1" w14:textId="77777777" w:rsidTr="00247716">
        <w:trPr>
          <w:cantSplit/>
          <w:trHeight w:val="400"/>
        </w:trPr>
        <w:tc>
          <w:tcPr>
            <w:tcW w:w="382" w:type="pct"/>
            <w:vMerge/>
            <w:tcBorders>
              <w:bottom w:val="single" w:sz="4" w:space="0" w:color="999999"/>
            </w:tcBorders>
            <w:shd w:val="clear" w:color="auto" w:fill="auto"/>
          </w:tcPr>
          <w:p w14:paraId="64861A96" w14:textId="77777777" w:rsidR="00FE2379" w:rsidRDefault="00FE2379" w:rsidP="008D6666">
            <w:pPr>
              <w:pStyle w:val="textbullets"/>
              <w:numPr>
                <w:ilvl w:val="0"/>
                <w:numId w:val="0"/>
              </w:numPr>
              <w:tabs>
                <w:tab w:val="clear" w:pos="964"/>
              </w:tabs>
              <w:spacing w:before="60"/>
              <w:jc w:val="center"/>
              <w:rPr>
                <w:rFonts w:cs="Arial"/>
                <w:szCs w:val="18"/>
              </w:rPr>
            </w:pPr>
          </w:p>
        </w:tc>
        <w:tc>
          <w:tcPr>
            <w:tcW w:w="1080" w:type="pct"/>
            <w:tcBorders>
              <w:top w:val="single" w:sz="4" w:space="0" w:color="999999"/>
              <w:bottom w:val="single" w:sz="4" w:space="0" w:color="999999"/>
            </w:tcBorders>
          </w:tcPr>
          <w:p w14:paraId="07B6E7C1" w14:textId="77777777" w:rsidR="00FE2379" w:rsidRPr="00007504" w:rsidRDefault="00FE2379" w:rsidP="00687A5B">
            <w:pPr>
              <w:pStyle w:val="Tabletext"/>
              <w:rPr>
                <w:szCs w:val="18"/>
              </w:rPr>
            </w:pPr>
            <w:r>
              <w:rPr>
                <w:szCs w:val="18"/>
              </w:rPr>
              <w:t>1</w:t>
            </w:r>
            <w:r>
              <w:rPr>
                <w:rFonts w:cs="Verdana"/>
                <w:szCs w:val="18"/>
              </w:rPr>
              <w:t xml:space="preserve"> </w:t>
            </w:r>
            <w:r w:rsidRPr="00542A8D">
              <w:rPr>
                <w:rFonts w:cs="Verdana"/>
                <w:szCs w:val="18"/>
              </w:rPr>
              <w:t>The nature of warfare</w:t>
            </w:r>
          </w:p>
        </w:tc>
        <w:tc>
          <w:tcPr>
            <w:tcW w:w="3538" w:type="pct"/>
            <w:tcBorders>
              <w:top w:val="single" w:sz="4" w:space="0" w:color="999999"/>
              <w:bottom w:val="single" w:sz="4" w:space="0" w:color="999999"/>
            </w:tcBorders>
          </w:tcPr>
          <w:p w14:paraId="0EE582E0" w14:textId="77777777" w:rsidR="00FE2379" w:rsidRPr="00542A8D" w:rsidRDefault="00FE2379" w:rsidP="00FE2379">
            <w:pPr>
              <w:pStyle w:val="textbullets"/>
              <w:numPr>
                <w:ilvl w:val="0"/>
                <w:numId w:val="32"/>
              </w:numPr>
              <w:tabs>
                <w:tab w:val="clear" w:pos="964"/>
              </w:tabs>
              <w:spacing w:before="60" w:line="240" w:lineRule="auto"/>
              <w:ind w:left="301" w:right="6" w:hanging="301"/>
              <w:rPr>
                <w:szCs w:val="18"/>
              </w:rPr>
            </w:pPr>
            <w:r w:rsidRPr="00542A8D">
              <w:rPr>
                <w:szCs w:val="18"/>
              </w:rPr>
              <w:t>Continuity and change in the composition of the army, including the decline of the cavalry.</w:t>
            </w:r>
          </w:p>
          <w:p w14:paraId="15DA81DA" w14:textId="77777777" w:rsidR="00FE2379" w:rsidRPr="00542A8D" w:rsidRDefault="00FE2379" w:rsidP="00FE2379">
            <w:pPr>
              <w:pStyle w:val="textbullets"/>
              <w:numPr>
                <w:ilvl w:val="0"/>
                <w:numId w:val="32"/>
              </w:numPr>
              <w:tabs>
                <w:tab w:val="clear" w:pos="964"/>
              </w:tabs>
              <w:spacing w:before="60" w:line="240" w:lineRule="auto"/>
              <w:ind w:left="301" w:right="6" w:hanging="301"/>
              <w:rPr>
                <w:szCs w:val="18"/>
              </w:rPr>
            </w:pPr>
            <w:r w:rsidRPr="00542A8D">
              <w:rPr>
                <w:szCs w:val="18"/>
              </w:rPr>
              <w:t>Impact on warfare of changes in weaponry, including the use of rifles and bullets</w:t>
            </w:r>
            <w:r>
              <w:rPr>
                <w:szCs w:val="18"/>
              </w:rPr>
              <w:t>,</w:t>
            </w:r>
            <w:r w:rsidRPr="00542A8D">
              <w:rPr>
                <w:szCs w:val="18"/>
              </w:rPr>
              <w:t xml:space="preserve"> and the development of field guns and heavy artillery. The impact </w:t>
            </w:r>
            <w:r w:rsidR="007A7B60">
              <w:rPr>
                <w:szCs w:val="18"/>
              </w:rPr>
              <w:t>on warfare of industrialisation, including</w:t>
            </w:r>
            <w:r w:rsidRPr="00542A8D">
              <w:rPr>
                <w:szCs w:val="18"/>
              </w:rPr>
              <w:t xml:space="preserve"> steam-powered transport and the mass production of weapons.</w:t>
            </w:r>
          </w:p>
        </w:tc>
      </w:tr>
      <w:tr w:rsidR="00FE2379" w:rsidRPr="002B4ED0" w14:paraId="214D4BCF" w14:textId="77777777" w:rsidTr="00247716">
        <w:trPr>
          <w:cantSplit/>
          <w:trHeight w:val="400"/>
        </w:trPr>
        <w:tc>
          <w:tcPr>
            <w:tcW w:w="382" w:type="pct"/>
            <w:tcBorders>
              <w:top w:val="single" w:sz="4" w:space="0" w:color="999999"/>
              <w:bottom w:val="single" w:sz="4" w:space="0" w:color="999999"/>
            </w:tcBorders>
            <w:shd w:val="clear" w:color="auto" w:fill="auto"/>
          </w:tcPr>
          <w:p w14:paraId="6FAFA3A9" w14:textId="77777777" w:rsidR="00FE2379" w:rsidRDefault="009B43F6" w:rsidP="008D6666">
            <w:pPr>
              <w:pStyle w:val="textbullets"/>
              <w:numPr>
                <w:ilvl w:val="0"/>
                <w:numId w:val="0"/>
              </w:numPr>
              <w:tabs>
                <w:tab w:val="clear" w:pos="964"/>
              </w:tabs>
              <w:spacing w:before="60"/>
              <w:jc w:val="center"/>
              <w:rPr>
                <w:rFonts w:cs="Arial"/>
                <w:szCs w:val="18"/>
              </w:rPr>
            </w:pPr>
            <w:r>
              <w:rPr>
                <w:rFonts w:cs="Arial"/>
                <w:szCs w:val="18"/>
              </w:rPr>
              <w:t>8</w:t>
            </w:r>
          </w:p>
        </w:tc>
        <w:tc>
          <w:tcPr>
            <w:tcW w:w="1080" w:type="pct"/>
            <w:tcBorders>
              <w:top w:val="single" w:sz="4" w:space="0" w:color="999999"/>
              <w:bottom w:val="single" w:sz="4" w:space="0" w:color="999999"/>
            </w:tcBorders>
          </w:tcPr>
          <w:p w14:paraId="40268E0B" w14:textId="77777777" w:rsidR="00FE2379" w:rsidRPr="00BA636E" w:rsidRDefault="00FE2379" w:rsidP="00687A5B">
            <w:pPr>
              <w:pStyle w:val="Tabletext"/>
            </w:pPr>
            <w:r w:rsidRPr="00542A8D">
              <w:rPr>
                <w:rFonts w:cs="Verdana"/>
                <w:szCs w:val="18"/>
              </w:rPr>
              <w:t>2 The experience of war</w:t>
            </w:r>
          </w:p>
        </w:tc>
        <w:tc>
          <w:tcPr>
            <w:tcW w:w="3538" w:type="pct"/>
            <w:tcBorders>
              <w:top w:val="single" w:sz="4" w:space="0" w:color="999999"/>
              <w:bottom w:val="single" w:sz="4" w:space="0" w:color="999999"/>
            </w:tcBorders>
          </w:tcPr>
          <w:p w14:paraId="22241B62" w14:textId="77777777" w:rsidR="00FE2379" w:rsidRPr="00542A8D" w:rsidRDefault="00FE2379" w:rsidP="00FE2379">
            <w:pPr>
              <w:pStyle w:val="textbullets"/>
              <w:numPr>
                <w:ilvl w:val="0"/>
                <w:numId w:val="32"/>
              </w:numPr>
              <w:tabs>
                <w:tab w:val="clear" w:pos="964"/>
              </w:tabs>
              <w:spacing w:before="60" w:line="240" w:lineRule="auto"/>
              <w:ind w:left="301" w:right="6" w:hanging="301"/>
              <w:rPr>
                <w:szCs w:val="18"/>
              </w:rPr>
            </w:pPr>
            <w:r w:rsidRPr="00542A8D">
              <w:rPr>
                <w:szCs w:val="18"/>
              </w:rPr>
              <w:t>The recruitment and training of combatants, including Cardwell’s army reforms and professionalisation.</w:t>
            </w:r>
          </w:p>
          <w:p w14:paraId="5E3B3AD8" w14:textId="77777777" w:rsidR="00FE2379" w:rsidRPr="00542A8D" w:rsidRDefault="00FE2379" w:rsidP="00FE2379">
            <w:pPr>
              <w:pStyle w:val="textbullets"/>
              <w:numPr>
                <w:ilvl w:val="0"/>
                <w:numId w:val="32"/>
              </w:numPr>
              <w:tabs>
                <w:tab w:val="clear" w:pos="964"/>
              </w:tabs>
              <w:spacing w:before="60" w:line="240" w:lineRule="auto"/>
              <w:ind w:left="301" w:right="6" w:hanging="301"/>
              <w:rPr>
                <w:szCs w:val="18"/>
              </w:rPr>
            </w:pPr>
            <w:r w:rsidRPr="00542A8D">
              <w:rPr>
                <w:szCs w:val="18"/>
              </w:rPr>
              <w:t>The impact of war on civilians, including recruitment and requisitioning. The impact on popular attitudes of the growth of newspaper reporting and photography in the nineteenth century, exemplified in the Crimean and Boer Wars.</w:t>
            </w:r>
          </w:p>
        </w:tc>
      </w:tr>
      <w:tr w:rsidR="00BB31BB" w:rsidRPr="002B4ED0" w14:paraId="56E9B191" w14:textId="77777777" w:rsidTr="00247716">
        <w:trPr>
          <w:cantSplit/>
          <w:trHeight w:val="400"/>
        </w:trPr>
        <w:tc>
          <w:tcPr>
            <w:tcW w:w="382" w:type="pct"/>
            <w:tcBorders>
              <w:top w:val="single" w:sz="4" w:space="0" w:color="999999"/>
              <w:bottom w:val="single" w:sz="4" w:space="0" w:color="999999"/>
            </w:tcBorders>
            <w:shd w:val="clear" w:color="auto" w:fill="auto"/>
          </w:tcPr>
          <w:p w14:paraId="2D6207C9" w14:textId="77777777" w:rsidR="00BB31BB" w:rsidRDefault="009B43F6" w:rsidP="008D6666">
            <w:pPr>
              <w:pStyle w:val="textbullets"/>
              <w:numPr>
                <w:ilvl w:val="0"/>
                <w:numId w:val="0"/>
              </w:numPr>
              <w:tabs>
                <w:tab w:val="clear" w:pos="964"/>
              </w:tabs>
              <w:spacing w:before="60"/>
              <w:jc w:val="center"/>
              <w:rPr>
                <w:rFonts w:cs="Arial"/>
                <w:szCs w:val="18"/>
              </w:rPr>
            </w:pPr>
            <w:r>
              <w:rPr>
                <w:rFonts w:cs="Arial"/>
                <w:szCs w:val="18"/>
              </w:rPr>
              <w:lastRenderedPageBreak/>
              <w:t>9</w:t>
            </w:r>
          </w:p>
        </w:tc>
        <w:tc>
          <w:tcPr>
            <w:tcW w:w="1080" w:type="pct"/>
            <w:tcBorders>
              <w:top w:val="single" w:sz="4" w:space="0" w:color="999999"/>
              <w:bottom w:val="single" w:sz="4" w:space="0" w:color="999999"/>
            </w:tcBorders>
          </w:tcPr>
          <w:p w14:paraId="24D17DB7" w14:textId="77777777" w:rsidR="00D3568E" w:rsidRDefault="00BB31BB" w:rsidP="00687A5B">
            <w:pPr>
              <w:pStyle w:val="Tabletext"/>
            </w:pPr>
            <w:r>
              <w:t>3</w:t>
            </w:r>
            <w:r w:rsidRPr="00BA636E">
              <w:t xml:space="preserve"> Case studies</w:t>
            </w:r>
          </w:p>
          <w:p w14:paraId="13D0AB34" w14:textId="77777777" w:rsidR="00D3568E" w:rsidRDefault="00D3568E" w:rsidP="00687A5B">
            <w:pPr>
              <w:pStyle w:val="Tabletext"/>
            </w:pPr>
          </w:p>
          <w:p w14:paraId="47449593" w14:textId="77777777" w:rsidR="00D3568E" w:rsidRPr="00D3568E" w:rsidRDefault="00D3568E" w:rsidP="00687A5B">
            <w:pPr>
              <w:pStyle w:val="Tabletext"/>
              <w:rPr>
                <w:i/>
              </w:rPr>
            </w:pPr>
            <w:r>
              <w:rPr>
                <w:i/>
              </w:rPr>
              <w:t xml:space="preserve">Review </w:t>
            </w:r>
          </w:p>
        </w:tc>
        <w:tc>
          <w:tcPr>
            <w:tcW w:w="3538" w:type="pct"/>
            <w:tcBorders>
              <w:top w:val="single" w:sz="4" w:space="0" w:color="999999"/>
              <w:bottom w:val="single" w:sz="4" w:space="0" w:color="999999"/>
            </w:tcBorders>
          </w:tcPr>
          <w:p w14:paraId="2D2AFE46" w14:textId="77777777" w:rsidR="00FE2379" w:rsidRDefault="00FE2379" w:rsidP="00FE2379">
            <w:pPr>
              <w:pStyle w:val="Tabletextbullets"/>
            </w:pPr>
            <w:r>
              <w:t>The Battle of Waterloo</w:t>
            </w:r>
            <w:r w:rsidR="007B5AF5">
              <w:t xml:space="preserve"> (</w:t>
            </w:r>
            <w:r>
              <w:t>1815</w:t>
            </w:r>
            <w:r w:rsidR="007B5AF5">
              <w:t>)</w:t>
            </w:r>
            <w:r>
              <w:t>: reasons for its outcome; the role of the Duke of Wellington.</w:t>
            </w:r>
          </w:p>
          <w:p w14:paraId="65697D0C" w14:textId="77777777" w:rsidR="00FE2379" w:rsidRDefault="00FE2379" w:rsidP="00442C8E">
            <w:pPr>
              <w:pStyle w:val="Tabletextbullets"/>
            </w:pPr>
            <w:r>
              <w:t>The Battle of Balaclava</w:t>
            </w:r>
            <w:r w:rsidR="007B5AF5">
              <w:t xml:space="preserve"> (</w:t>
            </w:r>
            <w:r>
              <w:t>1854</w:t>
            </w:r>
            <w:r w:rsidR="007B5AF5">
              <w:t>)</w:t>
            </w:r>
            <w:r>
              <w:t>: reasons for its outcome; the role of Lord Raglan.</w:t>
            </w:r>
          </w:p>
          <w:p w14:paraId="1AEF295A" w14:textId="77777777" w:rsidR="00D3568E" w:rsidRPr="00442C8E" w:rsidRDefault="00D3568E" w:rsidP="00D3568E">
            <w:pPr>
              <w:pStyle w:val="Tabletextbullets"/>
              <w:rPr>
                <w:i/>
              </w:rPr>
            </w:pPr>
            <w:r w:rsidRPr="00442C8E">
              <w:rPr>
                <w:i/>
              </w:rPr>
              <w:t>How much changed in the weapons and tactics used during this period? What impact did this have on the composition of the army and the nature of warfare?</w:t>
            </w:r>
          </w:p>
          <w:p w14:paraId="64121C10" w14:textId="77777777" w:rsidR="00D3568E" w:rsidRPr="00442C8E" w:rsidRDefault="00D3568E" w:rsidP="00D3568E">
            <w:pPr>
              <w:pStyle w:val="Tabletextbullets"/>
              <w:rPr>
                <w:i/>
              </w:rPr>
            </w:pPr>
            <w:r w:rsidRPr="00442C8E">
              <w:rPr>
                <w:i/>
              </w:rPr>
              <w:t>How much changed in the recruitment and training of soldiers? How much changed in the experiences of war for civilians?</w:t>
            </w:r>
          </w:p>
          <w:p w14:paraId="25CB7EC3" w14:textId="77777777" w:rsidR="00D3568E" w:rsidRPr="00442C8E" w:rsidRDefault="00D3568E" w:rsidP="00D3568E">
            <w:pPr>
              <w:pStyle w:val="Tabletextbullets"/>
              <w:rPr>
                <w:i/>
              </w:rPr>
            </w:pPr>
            <w:r w:rsidRPr="00442C8E">
              <w:rPr>
                <w:i/>
              </w:rPr>
              <w:t xml:space="preserve">How much had the role of leader changed during this period? </w:t>
            </w:r>
          </w:p>
          <w:p w14:paraId="0ACAB65E" w14:textId="77777777" w:rsidR="00D3568E" w:rsidRPr="00442C8E" w:rsidRDefault="00D3568E" w:rsidP="00D3568E">
            <w:pPr>
              <w:pStyle w:val="Tabletextbullets"/>
              <w:rPr>
                <w:i/>
              </w:rPr>
            </w:pPr>
            <w:r w:rsidRPr="00442C8E">
              <w:rPr>
                <w:i/>
              </w:rPr>
              <w:t xml:space="preserve">What factors affected the extent of continuity and change </w:t>
            </w:r>
            <w:r>
              <w:rPr>
                <w:i/>
              </w:rPr>
              <w:t>c</w:t>
            </w:r>
            <w:r w:rsidRPr="00442C8E">
              <w:rPr>
                <w:i/>
              </w:rPr>
              <w:t>1700</w:t>
            </w:r>
            <w:r>
              <w:rPr>
                <w:i/>
              </w:rPr>
              <w:t>–c</w:t>
            </w:r>
            <w:r w:rsidRPr="00442C8E">
              <w:rPr>
                <w:i/>
              </w:rPr>
              <w:t>1900?</w:t>
            </w:r>
          </w:p>
          <w:p w14:paraId="1DC2D81E" w14:textId="77777777" w:rsidR="004C79A5" w:rsidRPr="00C61B7F" w:rsidRDefault="00D3568E" w:rsidP="00D3568E">
            <w:pPr>
              <w:pStyle w:val="Tabletextbullets"/>
            </w:pPr>
            <w:r>
              <w:rPr>
                <w:i/>
              </w:rPr>
              <w:t>How much changed in the nature of and experience of warfare in the period c1250–1900?</w:t>
            </w:r>
          </w:p>
        </w:tc>
      </w:tr>
      <w:tr w:rsidR="008A3601" w:rsidRPr="002B4ED0" w14:paraId="10F5CA80" w14:textId="77777777" w:rsidTr="008D6666">
        <w:trPr>
          <w:cantSplit/>
          <w:trHeight w:val="400"/>
        </w:trPr>
        <w:tc>
          <w:tcPr>
            <w:tcW w:w="382" w:type="pct"/>
            <w:vMerge w:val="restart"/>
            <w:tcBorders>
              <w:top w:val="single" w:sz="4" w:space="0" w:color="999999"/>
            </w:tcBorders>
            <w:shd w:val="clear" w:color="auto" w:fill="auto"/>
          </w:tcPr>
          <w:p w14:paraId="5E4DEA21" w14:textId="77777777" w:rsidR="008A3601" w:rsidRDefault="008A3601" w:rsidP="008D6666">
            <w:pPr>
              <w:pStyle w:val="textbullets"/>
              <w:numPr>
                <w:ilvl w:val="0"/>
                <w:numId w:val="0"/>
              </w:numPr>
              <w:spacing w:before="60"/>
              <w:jc w:val="center"/>
              <w:rPr>
                <w:rFonts w:cs="Arial"/>
                <w:szCs w:val="18"/>
              </w:rPr>
            </w:pPr>
            <w:r>
              <w:rPr>
                <w:rFonts w:cs="Arial"/>
                <w:szCs w:val="18"/>
              </w:rPr>
              <w:t>1</w:t>
            </w:r>
            <w:r w:rsidR="009B43F6">
              <w:rPr>
                <w:rFonts w:cs="Arial"/>
                <w:szCs w:val="18"/>
              </w:rPr>
              <w:t>0</w:t>
            </w:r>
          </w:p>
        </w:tc>
        <w:tc>
          <w:tcPr>
            <w:tcW w:w="4618" w:type="pct"/>
            <w:gridSpan w:val="2"/>
            <w:tcBorders>
              <w:top w:val="single" w:sz="4" w:space="0" w:color="999999"/>
              <w:bottom w:val="single" w:sz="4" w:space="0" w:color="999999"/>
            </w:tcBorders>
          </w:tcPr>
          <w:p w14:paraId="6E1BE7C0" w14:textId="77777777" w:rsidR="008A3601" w:rsidRPr="006C399D" w:rsidRDefault="008A3601" w:rsidP="006C399D">
            <w:pPr>
              <w:pStyle w:val="Tabletext"/>
              <w:rPr>
                <w:b/>
              </w:rPr>
            </w:pPr>
            <w:r w:rsidRPr="006C399D">
              <w:rPr>
                <w:b/>
              </w:rPr>
              <w:t xml:space="preserve">c1900–present: </w:t>
            </w:r>
            <w:r w:rsidR="00D6461F">
              <w:rPr>
                <w:b/>
              </w:rPr>
              <w:t>Warfare and British society in</w:t>
            </w:r>
            <w:r w:rsidR="00D6461F" w:rsidRPr="006C399D">
              <w:rPr>
                <w:b/>
              </w:rPr>
              <w:t xml:space="preserve"> </w:t>
            </w:r>
            <w:r w:rsidR="00D6461F">
              <w:rPr>
                <w:b/>
              </w:rPr>
              <w:t xml:space="preserve">the </w:t>
            </w:r>
            <w:r w:rsidRPr="006C399D">
              <w:rPr>
                <w:b/>
              </w:rPr>
              <w:t xml:space="preserve">modern </w:t>
            </w:r>
            <w:r w:rsidR="00D6461F">
              <w:rPr>
                <w:b/>
              </w:rPr>
              <w:t xml:space="preserve">era </w:t>
            </w:r>
          </w:p>
          <w:p w14:paraId="3F96A2F1" w14:textId="77777777" w:rsidR="008A3601" w:rsidRPr="00557C06" w:rsidRDefault="008A3601" w:rsidP="006C399D">
            <w:pPr>
              <w:pStyle w:val="Tabletextbullets"/>
              <w:rPr>
                <w:i/>
                <w:szCs w:val="18"/>
              </w:rPr>
            </w:pPr>
            <w:r w:rsidRPr="00557C06">
              <w:rPr>
                <w:i/>
              </w:rPr>
              <w:t>Brief overview of the period: Britain 1900 to present.</w:t>
            </w:r>
          </w:p>
        </w:tc>
      </w:tr>
      <w:tr w:rsidR="00FE2379" w:rsidRPr="002B4ED0" w14:paraId="47EC3331" w14:textId="77777777" w:rsidTr="00247716">
        <w:trPr>
          <w:cantSplit/>
          <w:trHeight w:val="400"/>
        </w:trPr>
        <w:tc>
          <w:tcPr>
            <w:tcW w:w="382" w:type="pct"/>
            <w:vMerge/>
            <w:tcBorders>
              <w:bottom w:val="single" w:sz="4" w:space="0" w:color="999999"/>
            </w:tcBorders>
            <w:shd w:val="clear" w:color="auto" w:fill="auto"/>
          </w:tcPr>
          <w:p w14:paraId="406646E6" w14:textId="77777777" w:rsidR="00FE2379" w:rsidRDefault="00FE2379" w:rsidP="008D6666">
            <w:pPr>
              <w:pStyle w:val="textbullets"/>
              <w:numPr>
                <w:ilvl w:val="0"/>
                <w:numId w:val="0"/>
              </w:numPr>
              <w:tabs>
                <w:tab w:val="clear" w:pos="964"/>
              </w:tabs>
              <w:spacing w:before="60"/>
              <w:jc w:val="center"/>
              <w:rPr>
                <w:rFonts w:cs="Arial"/>
                <w:szCs w:val="18"/>
              </w:rPr>
            </w:pPr>
          </w:p>
        </w:tc>
        <w:tc>
          <w:tcPr>
            <w:tcW w:w="1080" w:type="pct"/>
            <w:tcBorders>
              <w:top w:val="single" w:sz="4" w:space="0" w:color="999999"/>
              <w:bottom w:val="single" w:sz="4" w:space="0" w:color="999999"/>
            </w:tcBorders>
          </w:tcPr>
          <w:p w14:paraId="2EBABA73" w14:textId="77777777" w:rsidR="00FE2379" w:rsidRPr="00007504" w:rsidRDefault="00FE2379" w:rsidP="00687A5B">
            <w:pPr>
              <w:pStyle w:val="Tabletext"/>
              <w:rPr>
                <w:szCs w:val="18"/>
              </w:rPr>
            </w:pPr>
            <w:r>
              <w:rPr>
                <w:szCs w:val="18"/>
              </w:rPr>
              <w:t>1</w:t>
            </w:r>
            <w:r>
              <w:rPr>
                <w:rFonts w:cs="Verdana"/>
                <w:szCs w:val="18"/>
              </w:rPr>
              <w:t xml:space="preserve"> </w:t>
            </w:r>
            <w:r w:rsidRPr="00542A8D">
              <w:rPr>
                <w:rFonts w:cs="Verdana"/>
                <w:szCs w:val="18"/>
              </w:rPr>
              <w:t>The nature of warfare</w:t>
            </w:r>
          </w:p>
        </w:tc>
        <w:tc>
          <w:tcPr>
            <w:tcW w:w="3538" w:type="pct"/>
            <w:tcBorders>
              <w:top w:val="single" w:sz="4" w:space="0" w:color="999999"/>
              <w:bottom w:val="single" w:sz="4" w:space="0" w:color="999999"/>
            </w:tcBorders>
          </w:tcPr>
          <w:p w14:paraId="4C8F9FE6" w14:textId="77777777" w:rsidR="00FE2379" w:rsidRPr="00542A8D" w:rsidRDefault="00FE2379" w:rsidP="00442C8E">
            <w:pPr>
              <w:pStyle w:val="Tabletextbullets"/>
            </w:pPr>
            <w:r w:rsidRPr="00542A8D">
              <w:t>Continuity and change in the composition of the army, including the growth of a logistics corps and specialised bomb disposal units.</w:t>
            </w:r>
          </w:p>
          <w:p w14:paraId="3CF61764" w14:textId="77777777" w:rsidR="00FE2379" w:rsidRPr="00542A8D" w:rsidRDefault="00FE2379" w:rsidP="00442C8E">
            <w:pPr>
              <w:pStyle w:val="Tabletextbullets"/>
            </w:pPr>
            <w:r w:rsidRPr="00542A8D">
              <w:t>The impact on warfare of developments in weaponry</w:t>
            </w:r>
            <w:r>
              <w:t>,</w:t>
            </w:r>
            <w:r w:rsidRPr="00542A8D">
              <w:t xml:space="preserve"> transport and surveillance, including machine guns, tanks, chemical and nuclear weapons,</w:t>
            </w:r>
            <w:r>
              <w:t xml:space="preserve"> </w:t>
            </w:r>
            <w:r w:rsidRPr="00542A8D">
              <w:t>the use of radar</w:t>
            </w:r>
            <w:r>
              <w:t xml:space="preserve"> and aircraft. </w:t>
            </w:r>
            <w:r w:rsidRPr="00542A8D">
              <w:t>The impact of computerised high-tech warfare. The increasing use of motor and air transport and aerial support. Dealing with guerrilla warfare in the twenty-first century.</w:t>
            </w:r>
          </w:p>
        </w:tc>
      </w:tr>
      <w:tr w:rsidR="00FE2379" w:rsidRPr="002B4ED0" w14:paraId="60241C49" w14:textId="77777777" w:rsidTr="00247716">
        <w:trPr>
          <w:cantSplit/>
          <w:trHeight w:val="400"/>
        </w:trPr>
        <w:tc>
          <w:tcPr>
            <w:tcW w:w="382" w:type="pct"/>
            <w:tcBorders>
              <w:top w:val="single" w:sz="4" w:space="0" w:color="999999"/>
              <w:bottom w:val="single" w:sz="4" w:space="0" w:color="999999"/>
            </w:tcBorders>
            <w:shd w:val="clear" w:color="auto" w:fill="auto"/>
          </w:tcPr>
          <w:p w14:paraId="4B74ACCD" w14:textId="77777777" w:rsidR="00FE2379" w:rsidRDefault="009B43F6" w:rsidP="008D6666">
            <w:pPr>
              <w:pStyle w:val="textbullets"/>
              <w:numPr>
                <w:ilvl w:val="0"/>
                <w:numId w:val="0"/>
              </w:numPr>
              <w:tabs>
                <w:tab w:val="clear" w:pos="964"/>
              </w:tabs>
              <w:spacing w:before="60"/>
              <w:jc w:val="center"/>
              <w:rPr>
                <w:rFonts w:cs="Arial"/>
                <w:szCs w:val="18"/>
              </w:rPr>
            </w:pPr>
            <w:r>
              <w:rPr>
                <w:rFonts w:cs="Arial"/>
                <w:szCs w:val="18"/>
              </w:rPr>
              <w:t>11</w:t>
            </w:r>
          </w:p>
        </w:tc>
        <w:tc>
          <w:tcPr>
            <w:tcW w:w="1080" w:type="pct"/>
            <w:tcBorders>
              <w:top w:val="single" w:sz="4" w:space="0" w:color="999999"/>
              <w:bottom w:val="single" w:sz="4" w:space="0" w:color="999999"/>
            </w:tcBorders>
          </w:tcPr>
          <w:p w14:paraId="561611AF" w14:textId="77777777" w:rsidR="00FE2379" w:rsidRPr="00BA636E" w:rsidRDefault="00FE2379" w:rsidP="00687A5B">
            <w:pPr>
              <w:pStyle w:val="Tabletext"/>
            </w:pPr>
            <w:r w:rsidRPr="00542A8D">
              <w:rPr>
                <w:rFonts w:cs="Verdana"/>
                <w:szCs w:val="18"/>
              </w:rPr>
              <w:t>2 The experience of war</w:t>
            </w:r>
          </w:p>
        </w:tc>
        <w:tc>
          <w:tcPr>
            <w:tcW w:w="3538" w:type="pct"/>
            <w:tcBorders>
              <w:top w:val="single" w:sz="4" w:space="0" w:color="999999"/>
              <w:bottom w:val="single" w:sz="4" w:space="0" w:color="999999"/>
            </w:tcBorders>
          </w:tcPr>
          <w:p w14:paraId="27B13EEB" w14:textId="77777777" w:rsidR="00FE2379" w:rsidRPr="00542A8D" w:rsidRDefault="00FE2379" w:rsidP="00442C8E">
            <w:pPr>
              <w:pStyle w:val="Tabletextbullets"/>
            </w:pPr>
            <w:r w:rsidRPr="00542A8D">
              <w:t>The recruitment and training of combatants, including the introduction of conscription, national service</w:t>
            </w:r>
            <w:r w:rsidR="007A7B60">
              <w:t>, the recruitment of women</w:t>
            </w:r>
            <w:r w:rsidRPr="00542A8D">
              <w:t xml:space="preserve"> and the development of a professional army.</w:t>
            </w:r>
          </w:p>
          <w:p w14:paraId="55C776C4" w14:textId="77777777" w:rsidR="00FE2379" w:rsidRPr="00542A8D" w:rsidRDefault="00FE2379" w:rsidP="00442C8E">
            <w:pPr>
              <w:pStyle w:val="Tabletextbullets"/>
            </w:pPr>
            <w:r w:rsidRPr="00542A8D">
              <w:t>The impact of war on civilians, including recruitment and the organisation of a Home Front during the First and Second World Wa</w:t>
            </w:r>
            <w:r>
              <w:t>rs and fear of nuclear war post-</w:t>
            </w:r>
            <w:r w:rsidRPr="00542A8D">
              <w:t xml:space="preserve">1945. Attitudes to </w:t>
            </w:r>
            <w:r w:rsidR="00C47D0F">
              <w:t>C</w:t>
            </w:r>
            <w:r w:rsidRPr="00542A8D">
              <w:t xml:space="preserve">onscientious </w:t>
            </w:r>
            <w:r w:rsidR="00C47D0F">
              <w:t>O</w:t>
            </w:r>
            <w:r w:rsidRPr="00542A8D">
              <w:t xml:space="preserve">bjectors. The influence of war reporting </w:t>
            </w:r>
            <w:r>
              <w:t xml:space="preserve">in the period </w:t>
            </w:r>
            <w:r w:rsidRPr="00542A8D">
              <w:t>on attitudes, including increased concern for casualties. Government use of censorship and propaganda in wartime.</w:t>
            </w:r>
          </w:p>
        </w:tc>
      </w:tr>
      <w:tr w:rsidR="00BB31BB" w:rsidRPr="002B4ED0" w14:paraId="1D330527" w14:textId="77777777" w:rsidTr="00247716">
        <w:trPr>
          <w:cantSplit/>
          <w:trHeight w:val="400"/>
        </w:trPr>
        <w:tc>
          <w:tcPr>
            <w:tcW w:w="382" w:type="pct"/>
            <w:tcBorders>
              <w:top w:val="single" w:sz="4" w:space="0" w:color="999999"/>
              <w:bottom w:val="single" w:sz="4" w:space="0" w:color="999999"/>
            </w:tcBorders>
            <w:shd w:val="clear" w:color="auto" w:fill="auto"/>
          </w:tcPr>
          <w:p w14:paraId="645E099D" w14:textId="77777777" w:rsidR="00BB31BB" w:rsidRDefault="009B43F6" w:rsidP="008D6666">
            <w:pPr>
              <w:pStyle w:val="textbullets"/>
              <w:numPr>
                <w:ilvl w:val="0"/>
                <w:numId w:val="0"/>
              </w:numPr>
              <w:tabs>
                <w:tab w:val="clear" w:pos="964"/>
              </w:tabs>
              <w:spacing w:before="60"/>
              <w:jc w:val="center"/>
              <w:rPr>
                <w:rFonts w:cs="Arial"/>
                <w:szCs w:val="18"/>
              </w:rPr>
            </w:pPr>
            <w:r>
              <w:rPr>
                <w:rFonts w:cs="Arial"/>
                <w:szCs w:val="18"/>
              </w:rPr>
              <w:lastRenderedPageBreak/>
              <w:t>12</w:t>
            </w:r>
          </w:p>
        </w:tc>
        <w:tc>
          <w:tcPr>
            <w:tcW w:w="1080" w:type="pct"/>
            <w:tcBorders>
              <w:top w:val="single" w:sz="4" w:space="0" w:color="999999"/>
              <w:bottom w:val="single" w:sz="4" w:space="0" w:color="999999"/>
            </w:tcBorders>
          </w:tcPr>
          <w:p w14:paraId="06A3B7DC" w14:textId="77777777" w:rsidR="00BB31BB" w:rsidRDefault="00BB31BB" w:rsidP="00687A5B">
            <w:pPr>
              <w:pStyle w:val="Tabletext"/>
            </w:pPr>
            <w:r>
              <w:t>3</w:t>
            </w:r>
            <w:r w:rsidRPr="00BA636E">
              <w:t xml:space="preserve"> Case studies</w:t>
            </w:r>
            <w:r w:rsidR="00873C45">
              <w:br/>
            </w:r>
            <w:r w:rsidR="00873C45">
              <w:br/>
            </w:r>
          </w:p>
          <w:p w14:paraId="51D13502" w14:textId="77777777" w:rsidR="00D3568E" w:rsidRDefault="00873C45" w:rsidP="00687A5B">
            <w:pPr>
              <w:pStyle w:val="Tabletext"/>
            </w:pPr>
            <w:r>
              <w:br/>
            </w:r>
          </w:p>
          <w:p w14:paraId="61EB6F82" w14:textId="77777777" w:rsidR="00D3568E" w:rsidRPr="00D3568E" w:rsidRDefault="00D3568E" w:rsidP="00687A5B">
            <w:pPr>
              <w:pStyle w:val="Tabletext"/>
              <w:rPr>
                <w:i/>
              </w:rPr>
            </w:pPr>
            <w:r>
              <w:rPr>
                <w:i/>
              </w:rPr>
              <w:t xml:space="preserve">Review </w:t>
            </w:r>
          </w:p>
        </w:tc>
        <w:tc>
          <w:tcPr>
            <w:tcW w:w="3538" w:type="pct"/>
            <w:tcBorders>
              <w:top w:val="single" w:sz="4" w:space="0" w:color="999999"/>
              <w:bottom w:val="single" w:sz="4" w:space="0" w:color="999999"/>
            </w:tcBorders>
          </w:tcPr>
          <w:p w14:paraId="2021A9A4" w14:textId="77777777" w:rsidR="00FE2379" w:rsidRPr="00442C8E" w:rsidRDefault="00FE2379" w:rsidP="00442C8E">
            <w:pPr>
              <w:pStyle w:val="Tabletextbullets"/>
            </w:pPr>
            <w:r w:rsidRPr="00442C8E">
              <w:t xml:space="preserve">The Western Front during the First World War and the Battle of the Somme, </w:t>
            </w:r>
            <w:r w:rsidR="007A2D7D">
              <w:t>(</w:t>
            </w:r>
            <w:r w:rsidRPr="00442C8E">
              <w:t>1916</w:t>
            </w:r>
            <w:r w:rsidR="007A2D7D">
              <w:t>)</w:t>
            </w:r>
            <w:r w:rsidRPr="00442C8E">
              <w:t>: the nature of trench warfare</w:t>
            </w:r>
            <w:r w:rsidR="007A7B60">
              <w:t xml:space="preserve"> and war of attrition</w:t>
            </w:r>
            <w:r w:rsidRPr="00442C8E">
              <w:t>; reasons for the outcome of the Somme; role of General Haig.</w:t>
            </w:r>
          </w:p>
          <w:p w14:paraId="4675C322" w14:textId="77777777" w:rsidR="00BB31BB" w:rsidRPr="00A76A45" w:rsidRDefault="00FE2379" w:rsidP="00442C8E">
            <w:pPr>
              <w:pStyle w:val="Tabletextbullets"/>
            </w:pPr>
            <w:r w:rsidRPr="00442C8E">
              <w:t xml:space="preserve">The Iraq War </w:t>
            </w:r>
            <w:r w:rsidR="007A2D7D">
              <w:t>(</w:t>
            </w:r>
            <w:r w:rsidRPr="00442C8E">
              <w:t>2003</w:t>
            </w:r>
            <w:r w:rsidR="007A2D7D">
              <w:t>)</w:t>
            </w:r>
            <w:r w:rsidRPr="00442C8E">
              <w:t>: reasons for its outcome; use of high-tech weaponry and surveillance techniques.</w:t>
            </w:r>
          </w:p>
          <w:p w14:paraId="2ECBBEED" w14:textId="77777777" w:rsidR="00D3568E" w:rsidRPr="00442C8E" w:rsidRDefault="00D3568E" w:rsidP="00D3568E">
            <w:pPr>
              <w:pStyle w:val="Tabletextbullets"/>
              <w:rPr>
                <w:i/>
              </w:rPr>
            </w:pPr>
            <w:r w:rsidRPr="00442C8E">
              <w:rPr>
                <w:i/>
              </w:rPr>
              <w:t>How much changed in the weapons and tactics used during this period? What impact did this have on the composition of the army and the nature of warfare?</w:t>
            </w:r>
          </w:p>
          <w:p w14:paraId="59686030" w14:textId="77777777" w:rsidR="00D3568E" w:rsidRPr="00442C8E" w:rsidRDefault="00D3568E" w:rsidP="00D3568E">
            <w:pPr>
              <w:pStyle w:val="Tabletextbullets"/>
              <w:rPr>
                <w:i/>
              </w:rPr>
            </w:pPr>
            <w:r w:rsidRPr="00442C8E">
              <w:rPr>
                <w:i/>
              </w:rPr>
              <w:t>How much changed in the recruitment and training of soldiers? How much changed in the experiences of war for civilians?</w:t>
            </w:r>
          </w:p>
          <w:p w14:paraId="143F0654" w14:textId="77777777" w:rsidR="00D3568E" w:rsidRPr="00442C8E" w:rsidRDefault="00D3568E" w:rsidP="00D3568E">
            <w:pPr>
              <w:pStyle w:val="Tabletextbullets"/>
              <w:rPr>
                <w:i/>
              </w:rPr>
            </w:pPr>
            <w:r w:rsidRPr="00442C8E">
              <w:rPr>
                <w:i/>
              </w:rPr>
              <w:t xml:space="preserve">How much had the role of leader changed during this period? </w:t>
            </w:r>
          </w:p>
          <w:p w14:paraId="50E285C7" w14:textId="77777777" w:rsidR="004C79A5" w:rsidRPr="003443E2" w:rsidRDefault="00D3568E" w:rsidP="00D3568E">
            <w:pPr>
              <w:pStyle w:val="Tabletextbullets"/>
            </w:pPr>
            <w:r>
              <w:rPr>
                <w:i/>
              </w:rPr>
              <w:t>How much changed in the nature of and experience of warfare in the period c1250–present?</w:t>
            </w:r>
            <w:r w:rsidR="004C79A5" w:rsidRPr="004C79A5">
              <w:rPr>
                <w:i/>
              </w:rPr>
              <w:t xml:space="preserve"> </w:t>
            </w:r>
          </w:p>
        </w:tc>
      </w:tr>
      <w:tr w:rsidR="00FB671C" w:rsidRPr="002B4ED0" w14:paraId="7FCFB117" w14:textId="77777777" w:rsidTr="00247716">
        <w:trPr>
          <w:cantSplit/>
          <w:trHeight w:val="400"/>
        </w:trPr>
        <w:tc>
          <w:tcPr>
            <w:tcW w:w="382" w:type="pct"/>
            <w:tcBorders>
              <w:top w:val="single" w:sz="4" w:space="0" w:color="999999"/>
              <w:bottom w:val="single" w:sz="4" w:space="0" w:color="999999"/>
            </w:tcBorders>
            <w:shd w:val="clear" w:color="auto" w:fill="auto"/>
          </w:tcPr>
          <w:p w14:paraId="4959652F" w14:textId="77777777" w:rsidR="00FB671C" w:rsidRDefault="009B43F6" w:rsidP="008D6666">
            <w:pPr>
              <w:pStyle w:val="textbullets"/>
              <w:numPr>
                <w:ilvl w:val="0"/>
                <w:numId w:val="0"/>
              </w:numPr>
              <w:tabs>
                <w:tab w:val="clear" w:pos="964"/>
              </w:tabs>
              <w:spacing w:before="60"/>
              <w:jc w:val="center"/>
              <w:rPr>
                <w:rFonts w:cs="Arial"/>
                <w:szCs w:val="18"/>
              </w:rPr>
            </w:pPr>
            <w:r>
              <w:rPr>
                <w:rFonts w:cs="Arial"/>
                <w:szCs w:val="18"/>
              </w:rPr>
              <w:t>13</w:t>
            </w:r>
          </w:p>
        </w:tc>
        <w:tc>
          <w:tcPr>
            <w:tcW w:w="1080" w:type="pct"/>
            <w:vMerge w:val="restart"/>
            <w:tcBorders>
              <w:top w:val="single" w:sz="4" w:space="0" w:color="999999"/>
            </w:tcBorders>
          </w:tcPr>
          <w:p w14:paraId="058BA8E0" w14:textId="77777777" w:rsidR="00FB671C" w:rsidRPr="00D779FA" w:rsidRDefault="00FF5145" w:rsidP="006C399D">
            <w:pPr>
              <w:pStyle w:val="Tabletext"/>
              <w:rPr>
                <w:b/>
              </w:rPr>
            </w:pPr>
            <w:r w:rsidRPr="00D779FA">
              <w:rPr>
                <w:rFonts w:cs="Verdana"/>
                <w:b/>
                <w:szCs w:val="18"/>
              </w:rPr>
              <w:t>London and the Second World War, 1939–45</w:t>
            </w:r>
          </w:p>
        </w:tc>
        <w:tc>
          <w:tcPr>
            <w:tcW w:w="3538" w:type="pct"/>
            <w:tcBorders>
              <w:top w:val="single" w:sz="4" w:space="0" w:color="999999"/>
              <w:bottom w:val="single" w:sz="4" w:space="0" w:color="999999"/>
            </w:tcBorders>
          </w:tcPr>
          <w:p w14:paraId="59DA42F5" w14:textId="77777777" w:rsidR="00FB671C" w:rsidRPr="00442C8E" w:rsidRDefault="00FB671C" w:rsidP="00442C8E">
            <w:pPr>
              <w:pStyle w:val="Tabletext"/>
              <w:rPr>
                <w:i/>
              </w:rPr>
            </w:pPr>
            <w:r w:rsidRPr="00442C8E">
              <w:rPr>
                <w:i/>
              </w:rPr>
              <w:t>Introduction to historic environment</w:t>
            </w:r>
            <w:r w:rsidR="00442C8E">
              <w:rPr>
                <w:i/>
              </w:rPr>
              <w:t>.</w:t>
            </w:r>
          </w:p>
          <w:p w14:paraId="2547A9F1" w14:textId="77777777" w:rsidR="00FB671C" w:rsidRDefault="007A7B60" w:rsidP="007A7B60">
            <w:pPr>
              <w:pStyle w:val="Tabletextbullets"/>
            </w:pPr>
            <w:r w:rsidRPr="007A7B60">
              <w:t>The context of London in the Second World War, including its role in</w:t>
            </w:r>
            <w:r>
              <w:t xml:space="preserve"> </w:t>
            </w:r>
            <w:r w:rsidRPr="007A7B60">
              <w:t>national government, significance as a target, importance as a port</w:t>
            </w:r>
            <w:r>
              <w:t xml:space="preserve"> </w:t>
            </w:r>
            <w:r w:rsidRPr="007A7B60">
              <w:t>and industrial centre and its accessibility for German bombers.</w:t>
            </w:r>
            <w:r>
              <w:t xml:space="preserve"> </w:t>
            </w:r>
            <w:r w:rsidRPr="007A7B60">
              <w:t>Preparations for war in London</w:t>
            </w:r>
            <w:r w:rsidR="00DF66CA">
              <w:t xml:space="preserve"> in</w:t>
            </w:r>
            <w:r w:rsidRPr="007A7B60">
              <w:t xml:space="preserve"> 1939 and ongoing measures to</w:t>
            </w:r>
            <w:r>
              <w:t xml:space="preserve"> </w:t>
            </w:r>
            <w:r w:rsidRPr="007A7B60">
              <w:t>safeguard the population: implementation of plans for evacuation,</w:t>
            </w:r>
            <w:r>
              <w:t xml:space="preserve"> </w:t>
            </w:r>
            <w:r w:rsidRPr="007A7B60">
              <w:t>provision of Anderson shelters and gas masks.</w:t>
            </w:r>
          </w:p>
          <w:p w14:paraId="494F3C78" w14:textId="77777777" w:rsidR="007A7B60" w:rsidRPr="00AB271D" w:rsidRDefault="007A7B60" w:rsidP="007A7B60">
            <w:pPr>
              <w:pStyle w:val="Tabletextbullets"/>
            </w:pPr>
            <w:r w:rsidRPr="00442C8E">
              <w:rPr>
                <w:i/>
              </w:rPr>
              <w:t>Types of source relevant to this option.</w:t>
            </w:r>
          </w:p>
        </w:tc>
      </w:tr>
      <w:tr w:rsidR="00FB671C" w:rsidRPr="002B4ED0" w14:paraId="325CDC7E" w14:textId="77777777" w:rsidTr="00247716">
        <w:trPr>
          <w:cantSplit/>
          <w:trHeight w:val="400"/>
        </w:trPr>
        <w:tc>
          <w:tcPr>
            <w:tcW w:w="382" w:type="pct"/>
            <w:tcBorders>
              <w:top w:val="single" w:sz="4" w:space="0" w:color="999999"/>
              <w:bottom w:val="single" w:sz="4" w:space="0" w:color="999999"/>
            </w:tcBorders>
            <w:shd w:val="clear" w:color="auto" w:fill="auto"/>
          </w:tcPr>
          <w:p w14:paraId="5DC9B5F7" w14:textId="77777777" w:rsidR="00FB671C" w:rsidRDefault="009B43F6" w:rsidP="008D6666">
            <w:pPr>
              <w:pStyle w:val="textbullets"/>
              <w:numPr>
                <w:ilvl w:val="0"/>
                <w:numId w:val="0"/>
              </w:numPr>
              <w:tabs>
                <w:tab w:val="clear" w:pos="964"/>
              </w:tabs>
              <w:spacing w:before="60"/>
              <w:jc w:val="center"/>
              <w:rPr>
                <w:rFonts w:cs="Arial"/>
                <w:szCs w:val="18"/>
              </w:rPr>
            </w:pPr>
            <w:r>
              <w:rPr>
                <w:rFonts w:cs="Arial"/>
                <w:szCs w:val="18"/>
              </w:rPr>
              <w:t>14</w:t>
            </w:r>
          </w:p>
        </w:tc>
        <w:tc>
          <w:tcPr>
            <w:tcW w:w="1080" w:type="pct"/>
            <w:vMerge/>
          </w:tcPr>
          <w:p w14:paraId="1E56B341" w14:textId="77777777" w:rsidR="00FB671C" w:rsidRPr="00861951" w:rsidRDefault="00FB671C" w:rsidP="0091514E">
            <w:pPr>
              <w:pStyle w:val="Text0"/>
              <w:ind w:left="222"/>
              <w:rPr>
                <w:rFonts w:ascii="Verdana" w:hAnsi="Verdana" w:cs="Verdana"/>
                <w:sz w:val="20"/>
                <w:szCs w:val="20"/>
                <w:lang w:val="en-GB"/>
              </w:rPr>
            </w:pPr>
          </w:p>
        </w:tc>
        <w:tc>
          <w:tcPr>
            <w:tcW w:w="3538" w:type="pct"/>
            <w:tcBorders>
              <w:top w:val="single" w:sz="4" w:space="0" w:color="999999"/>
              <w:bottom w:val="single" w:sz="4" w:space="0" w:color="999999"/>
            </w:tcBorders>
          </w:tcPr>
          <w:p w14:paraId="7F277503" w14:textId="77777777" w:rsidR="002B37B4" w:rsidRPr="002B37B4" w:rsidRDefault="002B37B4" w:rsidP="002B37B4">
            <w:pPr>
              <w:pStyle w:val="Tabletextbullets"/>
            </w:pPr>
            <w:r w:rsidRPr="002B37B4">
              <w:t>The nature of attacks on London. Attacks on the docks and</w:t>
            </w:r>
            <w:r>
              <w:t xml:space="preserve"> </w:t>
            </w:r>
            <w:r w:rsidRPr="002B37B4">
              <w:t>industries of the East End, including Black Saturday (7 September</w:t>
            </w:r>
            <w:r>
              <w:t xml:space="preserve"> </w:t>
            </w:r>
            <w:r w:rsidRPr="002B37B4">
              <w:t>1940), and the V2 attack on Deptford</w:t>
            </w:r>
            <w:r w:rsidR="00170951">
              <w:t xml:space="preserve"> (</w:t>
            </w:r>
            <w:r w:rsidRPr="002B37B4">
              <w:t>1944</w:t>
            </w:r>
            <w:r w:rsidR="00170951">
              <w:t>)</w:t>
            </w:r>
            <w:r w:rsidRPr="002B37B4">
              <w:t>. Types of bomb used in</w:t>
            </w:r>
            <w:r>
              <w:t xml:space="preserve"> </w:t>
            </w:r>
            <w:r w:rsidRPr="002B37B4">
              <w:t>1940–41 and 1944–45, the scale of attack and extent of</w:t>
            </w:r>
            <w:r>
              <w:t xml:space="preserve"> </w:t>
            </w:r>
            <w:r w:rsidRPr="002B37B4">
              <w:t>devastation, including problems dealing with incendiaries and V1</w:t>
            </w:r>
            <w:r>
              <w:t xml:space="preserve"> </w:t>
            </w:r>
            <w:r w:rsidRPr="002B37B4">
              <w:rPr>
                <w:rFonts w:cs="Verdana"/>
                <w:sz w:val="18"/>
                <w:szCs w:val="18"/>
                <w:lang w:eastAsia="en-GB"/>
              </w:rPr>
              <w:t>and V2 rockets.</w:t>
            </w:r>
          </w:p>
          <w:p w14:paraId="27C10155" w14:textId="77777777" w:rsidR="00FB671C" w:rsidRPr="00557C06" w:rsidRDefault="00CE581B" w:rsidP="002B37B4">
            <w:pPr>
              <w:pStyle w:val="Tabletextbullets"/>
              <w:rPr>
                <w:i/>
              </w:rPr>
            </w:pPr>
            <w:r w:rsidRPr="00557C06">
              <w:rPr>
                <w:i/>
              </w:rPr>
              <w:t>Source utility</w:t>
            </w:r>
            <w:r>
              <w:rPr>
                <w:i/>
              </w:rPr>
              <w:t>.</w:t>
            </w:r>
          </w:p>
        </w:tc>
      </w:tr>
      <w:tr w:rsidR="00FB671C" w:rsidRPr="002B4ED0" w14:paraId="739FB16D" w14:textId="77777777" w:rsidTr="00247716">
        <w:trPr>
          <w:cantSplit/>
          <w:trHeight w:val="400"/>
        </w:trPr>
        <w:tc>
          <w:tcPr>
            <w:tcW w:w="382" w:type="pct"/>
            <w:tcBorders>
              <w:top w:val="single" w:sz="4" w:space="0" w:color="999999"/>
              <w:bottom w:val="single" w:sz="4" w:space="0" w:color="999999"/>
            </w:tcBorders>
            <w:shd w:val="clear" w:color="auto" w:fill="auto"/>
          </w:tcPr>
          <w:p w14:paraId="2F83939C" w14:textId="77777777" w:rsidR="00FB671C" w:rsidRDefault="009B43F6" w:rsidP="008D6666">
            <w:pPr>
              <w:pStyle w:val="textbullets"/>
              <w:numPr>
                <w:ilvl w:val="0"/>
                <w:numId w:val="0"/>
              </w:numPr>
              <w:tabs>
                <w:tab w:val="clear" w:pos="964"/>
              </w:tabs>
              <w:spacing w:before="60"/>
              <w:jc w:val="center"/>
              <w:rPr>
                <w:rFonts w:cs="Arial"/>
                <w:szCs w:val="18"/>
              </w:rPr>
            </w:pPr>
            <w:r>
              <w:rPr>
                <w:rFonts w:cs="Arial"/>
                <w:szCs w:val="18"/>
              </w:rPr>
              <w:t>15</w:t>
            </w:r>
          </w:p>
        </w:tc>
        <w:tc>
          <w:tcPr>
            <w:tcW w:w="1080" w:type="pct"/>
            <w:vMerge/>
          </w:tcPr>
          <w:p w14:paraId="65C2863C" w14:textId="77777777" w:rsidR="00FB671C" w:rsidRPr="00861951" w:rsidRDefault="00FB671C" w:rsidP="0091514E">
            <w:pPr>
              <w:pStyle w:val="Text0"/>
              <w:ind w:firstLine="6"/>
              <w:rPr>
                <w:rFonts w:ascii="Verdana" w:hAnsi="Verdana" w:cs="Verdana"/>
                <w:sz w:val="20"/>
                <w:szCs w:val="20"/>
                <w:lang w:val="en-GB"/>
              </w:rPr>
            </w:pPr>
          </w:p>
        </w:tc>
        <w:tc>
          <w:tcPr>
            <w:tcW w:w="3538" w:type="pct"/>
            <w:tcBorders>
              <w:top w:val="single" w:sz="4" w:space="0" w:color="999999"/>
              <w:bottom w:val="single" w:sz="4" w:space="0" w:color="999999"/>
            </w:tcBorders>
            <w:vAlign w:val="center"/>
          </w:tcPr>
          <w:p w14:paraId="72A49F55" w14:textId="77777777" w:rsidR="004C79A5" w:rsidRPr="004C79A5" w:rsidRDefault="002B37B4" w:rsidP="002B37B4">
            <w:pPr>
              <w:pStyle w:val="Tabletextbullets"/>
            </w:pPr>
            <w:r w:rsidRPr="002B37B4">
              <w:t>The impact of the Blitz on civilian life in London: air-raid</w:t>
            </w:r>
            <w:r>
              <w:t xml:space="preserve"> </w:t>
            </w:r>
            <w:r w:rsidRPr="002B37B4">
              <w:t>precautions, including the use of underground stations and</w:t>
            </w:r>
            <w:r>
              <w:t xml:space="preserve"> </w:t>
            </w:r>
            <w:r w:rsidRPr="002B37B4">
              <w:t>‘Mickey’s shelter’; the impact of the South Hallsville School</w:t>
            </w:r>
            <w:r w:rsidR="0029048A">
              <w:t xml:space="preserve"> </w:t>
            </w:r>
            <w:r w:rsidRPr="002B37B4">
              <w:t>(1940)</w:t>
            </w:r>
            <w:r>
              <w:t xml:space="preserve"> </w:t>
            </w:r>
            <w:r w:rsidRPr="002B37B4">
              <w:t>and Bethnal Green (1943) disasters. The continuance of leisure</w:t>
            </w:r>
            <w:r>
              <w:t xml:space="preserve"> </w:t>
            </w:r>
            <w:r w:rsidRPr="002B37B4">
              <w:t>activities in London, including dancehalls and theatre. The extent of</w:t>
            </w:r>
            <w:r>
              <w:t xml:space="preserve"> </w:t>
            </w:r>
            <w:r w:rsidRPr="002B37B4">
              <w:t>disruption to daily life and work, and government concerns about</w:t>
            </w:r>
            <w:r>
              <w:t xml:space="preserve"> </w:t>
            </w:r>
            <w:r w:rsidRPr="002B37B4">
              <w:t>morale.</w:t>
            </w:r>
          </w:p>
          <w:p w14:paraId="30818387" w14:textId="77777777" w:rsidR="00FB671C" w:rsidRPr="00557C06" w:rsidRDefault="00CE581B" w:rsidP="00E24ABF">
            <w:pPr>
              <w:pStyle w:val="Tabletextbullets"/>
              <w:rPr>
                <w:i/>
              </w:rPr>
            </w:pPr>
            <w:r>
              <w:rPr>
                <w:i/>
              </w:rPr>
              <w:t>F</w:t>
            </w:r>
            <w:r w:rsidRPr="00557C06">
              <w:rPr>
                <w:i/>
              </w:rPr>
              <w:t>ollowing up a source</w:t>
            </w:r>
            <w:r>
              <w:rPr>
                <w:i/>
              </w:rPr>
              <w:t>.</w:t>
            </w:r>
          </w:p>
        </w:tc>
      </w:tr>
      <w:tr w:rsidR="00FB671C" w:rsidRPr="002B4ED0" w14:paraId="4D93644F" w14:textId="77777777" w:rsidTr="00247716">
        <w:trPr>
          <w:cantSplit/>
          <w:trHeight w:val="400"/>
        </w:trPr>
        <w:tc>
          <w:tcPr>
            <w:tcW w:w="382" w:type="pct"/>
            <w:tcBorders>
              <w:top w:val="single" w:sz="4" w:space="0" w:color="999999"/>
              <w:bottom w:val="single" w:sz="4" w:space="0" w:color="999999"/>
            </w:tcBorders>
            <w:shd w:val="clear" w:color="auto" w:fill="auto"/>
          </w:tcPr>
          <w:p w14:paraId="50668534" w14:textId="77777777" w:rsidR="00FB671C" w:rsidRDefault="009B43F6" w:rsidP="008D6666">
            <w:pPr>
              <w:pStyle w:val="textbullets"/>
              <w:numPr>
                <w:ilvl w:val="0"/>
                <w:numId w:val="0"/>
              </w:numPr>
              <w:tabs>
                <w:tab w:val="clear" w:pos="964"/>
              </w:tabs>
              <w:spacing w:before="60"/>
              <w:jc w:val="center"/>
              <w:rPr>
                <w:rFonts w:cs="Arial"/>
                <w:szCs w:val="18"/>
              </w:rPr>
            </w:pPr>
            <w:r>
              <w:rPr>
                <w:rFonts w:cs="Arial"/>
                <w:szCs w:val="18"/>
              </w:rPr>
              <w:lastRenderedPageBreak/>
              <w:t>16</w:t>
            </w:r>
          </w:p>
        </w:tc>
        <w:tc>
          <w:tcPr>
            <w:tcW w:w="1080" w:type="pct"/>
            <w:vMerge/>
          </w:tcPr>
          <w:p w14:paraId="0810F73B" w14:textId="77777777" w:rsidR="00FB671C" w:rsidRPr="00007504" w:rsidRDefault="00FB671C" w:rsidP="00BA3CE0">
            <w:pPr>
              <w:pStyle w:val="textbullets"/>
              <w:numPr>
                <w:ilvl w:val="0"/>
                <w:numId w:val="0"/>
              </w:numPr>
              <w:tabs>
                <w:tab w:val="clear" w:pos="964"/>
              </w:tabs>
              <w:spacing w:before="60" w:line="240" w:lineRule="auto"/>
              <w:ind w:left="289" w:right="6"/>
              <w:rPr>
                <w:rFonts w:cs="Arial"/>
                <w:szCs w:val="18"/>
              </w:rPr>
            </w:pPr>
          </w:p>
        </w:tc>
        <w:tc>
          <w:tcPr>
            <w:tcW w:w="3538" w:type="pct"/>
            <w:tcBorders>
              <w:top w:val="single" w:sz="4" w:space="0" w:color="999999"/>
              <w:bottom w:val="single" w:sz="4" w:space="0" w:color="999999"/>
            </w:tcBorders>
            <w:vAlign w:val="center"/>
          </w:tcPr>
          <w:p w14:paraId="0DE95606" w14:textId="77777777" w:rsidR="002B37B4" w:rsidRPr="002B37B4" w:rsidRDefault="002B37B4" w:rsidP="002B37B4">
            <w:pPr>
              <w:pStyle w:val="Tabletextbullets"/>
            </w:pPr>
            <w:r w:rsidRPr="002B37B4">
              <w:t xml:space="preserve">London’s response to the war. The continued presence of the </w:t>
            </w:r>
            <w:r w:rsidR="00396A10">
              <w:t>R</w:t>
            </w:r>
            <w:r w:rsidRPr="002B37B4">
              <w:t>oyal</w:t>
            </w:r>
            <w:r>
              <w:t xml:space="preserve"> </w:t>
            </w:r>
            <w:r w:rsidR="00396A10">
              <w:t>F</w:t>
            </w:r>
            <w:r w:rsidRPr="002B37B4">
              <w:t>amily and government ministers; the Cabinet War Rooms.</w:t>
            </w:r>
            <w:r>
              <w:t xml:space="preserve"> </w:t>
            </w:r>
            <w:r w:rsidRPr="002B37B4">
              <w:t>The use</w:t>
            </w:r>
            <w:r>
              <w:t xml:space="preserve"> </w:t>
            </w:r>
            <w:r w:rsidRPr="002B37B4">
              <w:t>of public spaces, including Victoria Park and the Tower of London</w:t>
            </w:r>
            <w:r>
              <w:t xml:space="preserve"> </w:t>
            </w:r>
            <w:r w:rsidRPr="002B37B4">
              <w:t>moat, as part of the ‘Dig for Victory’ campaign.</w:t>
            </w:r>
          </w:p>
          <w:p w14:paraId="4B95D183" w14:textId="77777777" w:rsidR="00FB671C" w:rsidRPr="00557C06" w:rsidRDefault="00CE581B" w:rsidP="002B37B4">
            <w:pPr>
              <w:pStyle w:val="Tabletextbullets"/>
              <w:rPr>
                <w:i/>
              </w:rPr>
            </w:pPr>
            <w:r w:rsidRPr="00557C06">
              <w:rPr>
                <w:i/>
              </w:rPr>
              <w:t>Source utility</w:t>
            </w:r>
            <w:r>
              <w:rPr>
                <w:i/>
              </w:rPr>
              <w:t>.</w:t>
            </w:r>
          </w:p>
        </w:tc>
      </w:tr>
      <w:tr w:rsidR="00FB671C" w:rsidRPr="002B4ED0" w14:paraId="4A52EADB" w14:textId="77777777" w:rsidTr="00247716">
        <w:trPr>
          <w:cantSplit/>
          <w:trHeight w:val="400"/>
        </w:trPr>
        <w:tc>
          <w:tcPr>
            <w:tcW w:w="382" w:type="pct"/>
            <w:tcBorders>
              <w:top w:val="single" w:sz="4" w:space="0" w:color="999999"/>
              <w:bottom w:val="single" w:sz="4" w:space="0" w:color="999999"/>
            </w:tcBorders>
            <w:shd w:val="clear" w:color="auto" w:fill="auto"/>
          </w:tcPr>
          <w:p w14:paraId="2A7BFCBF" w14:textId="77777777" w:rsidR="00FB671C" w:rsidRDefault="009B43F6" w:rsidP="008D6666">
            <w:pPr>
              <w:pStyle w:val="textbullets"/>
              <w:numPr>
                <w:ilvl w:val="0"/>
                <w:numId w:val="0"/>
              </w:numPr>
              <w:tabs>
                <w:tab w:val="clear" w:pos="964"/>
              </w:tabs>
              <w:spacing w:before="60"/>
              <w:jc w:val="center"/>
              <w:rPr>
                <w:rFonts w:cs="Arial"/>
                <w:szCs w:val="18"/>
              </w:rPr>
            </w:pPr>
            <w:r>
              <w:rPr>
                <w:rFonts w:cs="Arial"/>
                <w:szCs w:val="18"/>
              </w:rPr>
              <w:t>17</w:t>
            </w:r>
          </w:p>
        </w:tc>
        <w:tc>
          <w:tcPr>
            <w:tcW w:w="1080" w:type="pct"/>
            <w:vMerge/>
          </w:tcPr>
          <w:p w14:paraId="719C0140" w14:textId="77777777" w:rsidR="00FB671C" w:rsidRPr="00007504" w:rsidRDefault="00FB671C" w:rsidP="00BA3CE0">
            <w:pPr>
              <w:pStyle w:val="textbullets"/>
              <w:numPr>
                <w:ilvl w:val="0"/>
                <w:numId w:val="0"/>
              </w:numPr>
              <w:tabs>
                <w:tab w:val="clear" w:pos="964"/>
              </w:tabs>
              <w:spacing w:before="60" w:line="240" w:lineRule="auto"/>
              <w:ind w:left="289" w:right="6"/>
              <w:rPr>
                <w:rFonts w:cs="Arial"/>
                <w:szCs w:val="18"/>
              </w:rPr>
            </w:pPr>
          </w:p>
        </w:tc>
        <w:tc>
          <w:tcPr>
            <w:tcW w:w="3538" w:type="pct"/>
            <w:tcBorders>
              <w:top w:val="single" w:sz="4" w:space="0" w:color="999999"/>
              <w:bottom w:val="single" w:sz="4" w:space="0" w:color="999999"/>
            </w:tcBorders>
            <w:vAlign w:val="center"/>
          </w:tcPr>
          <w:p w14:paraId="08E8FA9A" w14:textId="77777777" w:rsidR="002B37B4" w:rsidRPr="002B37B4" w:rsidRDefault="002B37B4" w:rsidP="002B37B4">
            <w:pPr>
              <w:pStyle w:val="Tabletextbullets"/>
            </w:pPr>
            <w:r w:rsidRPr="002B37B4">
              <w:t>The historical context of the Second World War: the nature and</w:t>
            </w:r>
            <w:r>
              <w:t xml:space="preserve"> </w:t>
            </w:r>
            <w:r w:rsidRPr="002B37B4">
              <w:t>purpose of the Blitz. Government use of propaganda and censorship</w:t>
            </w:r>
            <w:r>
              <w:t xml:space="preserve"> </w:t>
            </w:r>
            <w:r w:rsidRPr="002B37B4">
              <w:t>to influence attitudes about the Blitz.</w:t>
            </w:r>
          </w:p>
          <w:p w14:paraId="6CE28D48" w14:textId="77777777" w:rsidR="00FB671C" w:rsidRPr="00557C06" w:rsidRDefault="00CE581B" w:rsidP="002B37B4">
            <w:pPr>
              <w:pStyle w:val="Tabletextbullets"/>
              <w:rPr>
                <w:rFonts w:cs="Verdana"/>
                <w:i/>
              </w:rPr>
            </w:pPr>
            <w:r>
              <w:rPr>
                <w:i/>
              </w:rPr>
              <w:t>F</w:t>
            </w:r>
            <w:r w:rsidRPr="00557C06">
              <w:rPr>
                <w:i/>
              </w:rPr>
              <w:t>ollowing up a source</w:t>
            </w:r>
            <w:r>
              <w:rPr>
                <w:i/>
              </w:rPr>
              <w:t>.</w:t>
            </w:r>
          </w:p>
        </w:tc>
      </w:tr>
      <w:tr w:rsidR="00402B66" w:rsidRPr="002B4ED0" w14:paraId="4C990AA5" w14:textId="77777777" w:rsidTr="008D6666">
        <w:trPr>
          <w:cantSplit/>
          <w:trHeight w:val="400"/>
        </w:trPr>
        <w:tc>
          <w:tcPr>
            <w:tcW w:w="382" w:type="pct"/>
            <w:tcBorders>
              <w:top w:val="single" w:sz="4" w:space="0" w:color="999999"/>
            </w:tcBorders>
            <w:shd w:val="clear" w:color="auto" w:fill="auto"/>
          </w:tcPr>
          <w:p w14:paraId="6A08BC62" w14:textId="77777777" w:rsidR="00402B66" w:rsidRDefault="00402B66" w:rsidP="008D6666">
            <w:pPr>
              <w:pStyle w:val="textbullets"/>
              <w:numPr>
                <w:ilvl w:val="0"/>
                <w:numId w:val="0"/>
              </w:numPr>
              <w:tabs>
                <w:tab w:val="clear" w:pos="964"/>
              </w:tabs>
              <w:spacing w:before="60"/>
              <w:jc w:val="center"/>
              <w:rPr>
                <w:rFonts w:cs="Arial"/>
                <w:szCs w:val="18"/>
              </w:rPr>
            </w:pPr>
            <w:r>
              <w:rPr>
                <w:rFonts w:cs="Arial"/>
                <w:szCs w:val="18"/>
              </w:rPr>
              <w:t>18</w:t>
            </w:r>
          </w:p>
        </w:tc>
        <w:tc>
          <w:tcPr>
            <w:tcW w:w="4618" w:type="pct"/>
            <w:gridSpan w:val="2"/>
          </w:tcPr>
          <w:p w14:paraId="6C2FD9DC" w14:textId="77777777" w:rsidR="00402B66" w:rsidRPr="00DB4869" w:rsidRDefault="00402B66" w:rsidP="009B43F6">
            <w:pPr>
              <w:pStyle w:val="Tabletextbullets"/>
              <w:numPr>
                <w:ilvl w:val="0"/>
                <w:numId w:val="0"/>
              </w:numPr>
              <w:ind w:left="397" w:hanging="397"/>
            </w:pPr>
            <w:r w:rsidRPr="00E86714">
              <w:rPr>
                <w:rFonts w:cs="Verdana"/>
                <w:i/>
              </w:rPr>
              <w:t>Review and assessment of</w:t>
            </w:r>
            <w:r w:rsidR="00090077">
              <w:rPr>
                <w:rFonts w:cs="Verdana"/>
                <w:i/>
              </w:rPr>
              <w:t>:</w:t>
            </w:r>
          </w:p>
          <w:p w14:paraId="02C5BA19" w14:textId="77777777" w:rsidR="00402B66" w:rsidRDefault="00402B66" w:rsidP="009B43F6">
            <w:pPr>
              <w:pStyle w:val="Tabletextbullets"/>
            </w:pPr>
            <w:r w:rsidRPr="009B43F6">
              <w:rPr>
                <w:i/>
              </w:rPr>
              <w:t>Warfare and British society, c1250-present</w:t>
            </w:r>
            <w:r>
              <w:rPr>
                <w:b/>
              </w:rPr>
              <w:t xml:space="preserve"> </w:t>
            </w:r>
          </w:p>
          <w:p w14:paraId="7680F738" w14:textId="77777777" w:rsidR="00402B66" w:rsidRPr="005A1685" w:rsidRDefault="00402B66" w:rsidP="009B43F6">
            <w:pPr>
              <w:pStyle w:val="Tabletextbullets"/>
            </w:pPr>
            <w:r w:rsidRPr="009B43F6">
              <w:rPr>
                <w:rFonts w:cs="Verdana"/>
                <w:i/>
                <w:szCs w:val="18"/>
              </w:rPr>
              <w:t>London and the Second World War, 1939–45</w:t>
            </w:r>
            <w:r>
              <w:rPr>
                <w:szCs w:val="18"/>
              </w:rPr>
              <w:t>.</w:t>
            </w:r>
          </w:p>
        </w:tc>
      </w:tr>
    </w:tbl>
    <w:p w14:paraId="263A2AB1" w14:textId="77777777" w:rsidR="004F15B2" w:rsidRDefault="004F15B2" w:rsidP="002A21ED">
      <w:pPr>
        <w:pStyle w:val="text"/>
      </w:pPr>
    </w:p>
    <w:sectPr w:rsidR="004F15B2" w:rsidSect="00390687">
      <w:headerReference w:type="even" r:id="rId17"/>
      <w:pgSz w:w="16840" w:h="11900" w:orient="landscape" w:code="9"/>
      <w:pgMar w:top="1418" w:right="1418" w:bottom="1418" w:left="1134" w:header="567" w:footer="56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rgValue="" wne:acdName="acd2" wne:fciIndexBasedOn="0065"/>
    <wne:acd wne:argValue=""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rgValue=""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rgValue=""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rgValue=""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rgValue=""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FF101" w14:textId="77777777" w:rsidR="00261C07" w:rsidRDefault="00261C07">
      <w:r>
        <w:separator/>
      </w:r>
    </w:p>
  </w:endnote>
  <w:endnote w:type="continuationSeparator" w:id="0">
    <w:p w14:paraId="7A3F5644" w14:textId="77777777" w:rsidR="00261C07" w:rsidRDefault="00261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yriadPro-Regular">
    <w:altName w:val="Calibri"/>
    <w:panose1 w:val="00000000000000000000"/>
    <w:charset w:val="00"/>
    <w:family w:val="auto"/>
    <w:notTrueType/>
    <w:pitch w:val="default"/>
    <w:sig w:usb0="00000003" w:usb1="00000000" w:usb2="00000000" w:usb3="00000000" w:csb0="00000001" w:csb1="00000000"/>
  </w:font>
  <w:font w:name="Myriad Pro Light">
    <w:altName w:val="Myriad Pro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Bold">
    <w:altName w:val="Verdana"/>
    <w:panose1 w:val="020B0804030504040204"/>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1A58B" w14:textId="77777777" w:rsidR="007A7B60" w:rsidRDefault="000A4475">
    <w:pPr>
      <w:pStyle w:val="Footer"/>
    </w:pPr>
    <w:r>
      <w:rPr>
        <w:noProof/>
        <w:lang w:eastAsia="en-GB"/>
      </w:rPr>
      <w:pict w14:anchorId="4E8FF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3.15pt;margin-top:-21.75pt;width:813.55pt;height:40pt;z-index:251658240;mso-wrap-edited:f">
          <v:imagedata r:id="rId1" o:title="GCSE landscape bottom"/>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7B0B9" w14:textId="77777777" w:rsidR="007A7B60" w:rsidRDefault="000A4475" w:rsidP="007A7B60">
    <w:r>
      <w:rPr>
        <w:noProof/>
        <w:lang w:eastAsia="en-GB"/>
      </w:rPr>
      <w:pict w14:anchorId="32DE05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42.25pt;margin-top:-21.25pt;width:813.55pt;height:40pt;z-index:251657216;mso-wrap-edited:f">
          <v:imagedata r:id="rId1" o:title="GCSE landscape bottom"/>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53D9" w14:textId="77777777" w:rsidR="007A7B60" w:rsidRDefault="007A7B60" w:rsidP="00390687">
    <w:pPr>
      <w:pStyle w:val="Footer"/>
    </w:pPr>
    <w:r>
      <w:t>DRAFT July 2015</w:t>
    </w:r>
  </w:p>
  <w:p w14:paraId="39F39136" w14:textId="77777777" w:rsidR="007A7B60" w:rsidRDefault="007A7B60">
    <w:pPr>
      <w:pStyle w:val="Footer"/>
      <w:jc w:val="center"/>
    </w:pPr>
    <w:r>
      <w:fldChar w:fldCharType="begin"/>
    </w:r>
    <w:r>
      <w:instrText xml:space="preserve"> PAGE   \* MERGEFORMAT </w:instrText>
    </w:r>
    <w:r>
      <w:fldChar w:fldCharType="separate"/>
    </w:r>
    <w:r>
      <w:rPr>
        <w:noProof/>
      </w:rPr>
      <w:t>2</w:t>
    </w:r>
    <w:r>
      <w:fldChar w:fldCharType="end"/>
    </w:r>
  </w:p>
  <w:p w14:paraId="5016953D" w14:textId="77777777" w:rsidR="007A7B60" w:rsidRDefault="007A7B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9772F" w14:textId="77777777" w:rsidR="007A7B60" w:rsidRDefault="00B629C4" w:rsidP="00390687">
    <w:pPr>
      <w:pStyle w:val="Footer"/>
    </w:pPr>
    <w:r>
      <w:t xml:space="preserve">Issue </w:t>
    </w:r>
    <w:r w:rsidR="00C17CBB">
      <w:t>3</w:t>
    </w:r>
    <w:r>
      <w:t xml:space="preserve"> © Pearson Education Ltd 202</w:t>
    </w:r>
    <w:r w:rsidR="00C17CBB">
      <w:t>4</w:t>
    </w:r>
  </w:p>
  <w:p w14:paraId="132E32F3" w14:textId="77777777" w:rsidR="007A7B60" w:rsidRDefault="007A7B60">
    <w:pPr>
      <w:pStyle w:val="Footer"/>
      <w:jc w:val="center"/>
    </w:pPr>
    <w:r>
      <w:fldChar w:fldCharType="begin"/>
    </w:r>
    <w:r>
      <w:instrText xml:space="preserve"> PAGE   \* MERGEFORMAT </w:instrText>
    </w:r>
    <w:r>
      <w:fldChar w:fldCharType="separate"/>
    </w:r>
    <w:r w:rsidR="001625B9">
      <w:rPr>
        <w:noProof/>
      </w:rPr>
      <w:t>5</w:t>
    </w:r>
    <w:r>
      <w:fldChar w:fldCharType="end"/>
    </w:r>
  </w:p>
  <w:p w14:paraId="6E6544E7" w14:textId="77777777" w:rsidR="007A7B60" w:rsidRDefault="007A7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49E78" w14:textId="77777777" w:rsidR="00261C07" w:rsidRDefault="00261C07">
      <w:r>
        <w:separator/>
      </w:r>
    </w:p>
  </w:footnote>
  <w:footnote w:type="continuationSeparator" w:id="0">
    <w:p w14:paraId="5B0E2A7F" w14:textId="77777777" w:rsidR="00261C07" w:rsidRDefault="00261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58ADD" w14:textId="77777777" w:rsidR="007A7B60" w:rsidRDefault="000A4475">
    <w:pPr>
      <w:pStyle w:val="Header"/>
    </w:pPr>
    <w:r>
      <w:rPr>
        <w:noProof/>
      </w:rPr>
      <w:pict w14:anchorId="0C3454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56.7pt;margin-top:-28.25pt;width:845pt;height:596.4pt;z-index:-251657216;mso-wrap-edited:f">
          <v:imagedata r:id="rId1" o:title="GCSE_History_L"/>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1DB5A" w14:textId="77777777" w:rsidR="007A7B60" w:rsidRDefault="000A4475">
    <w:pPr>
      <w:pStyle w:val="Header"/>
    </w:pPr>
    <w:r>
      <w:rPr>
        <w:noProof/>
        <w:lang w:eastAsia="en-GB"/>
      </w:rPr>
      <w:pict w14:anchorId="039980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841.9pt;height:595.7pt;z-index:251656192;mso-wrap-edited:f;mso-position-horizontal:left;mso-position-horizontal-relative:page;mso-position-vertical:top;mso-position-vertical-relative:page">
          <v:imagedata r:id="rId1" o:title="GCSE_FrenchLscapeFCwDraftStamp"/>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B0342" w14:textId="77777777" w:rsidR="007A7B60" w:rsidRDefault="007A7B60" w:rsidP="00007504">
    <w:pPr>
      <w:pStyle w:val="IconRight"/>
      <w:framePr w:wrap="around"/>
    </w:pPr>
  </w:p>
  <w:p w14:paraId="12E8CD53" w14:textId="77777777" w:rsidR="007A7B60" w:rsidRDefault="007A7B60" w:rsidP="000075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F94E7" w14:textId="77777777" w:rsidR="007A7B60" w:rsidRDefault="007A7B60" w:rsidP="00007504">
    <w:pPr>
      <w:pStyle w:val="Icon"/>
      <w:framePr w:wrap="around"/>
    </w:pPr>
  </w:p>
  <w:p w14:paraId="05705769" w14:textId="77777777" w:rsidR="007A7B60" w:rsidRDefault="007A7B60" w:rsidP="00007504">
    <w:pPr>
      <w:pStyle w:val="HeaderOd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EA891" w14:textId="77777777" w:rsidR="007A7B60" w:rsidRDefault="007A7B60" w:rsidP="00007504">
    <w:pPr>
      <w:pStyle w:val="IconRight"/>
      <w:framePr w:wrap="around"/>
    </w:pPr>
  </w:p>
  <w:p w14:paraId="50F582AA" w14:textId="77777777" w:rsidR="007A7B60" w:rsidRDefault="007A7B60" w:rsidP="002A49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FB2B6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0064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FE48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A1E01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2EC6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AC13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7EF8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36FA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C4E8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4843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2CE4C3E"/>
    <w:multiLevelType w:val="singleLevel"/>
    <w:tmpl w:val="84E85010"/>
    <w:lvl w:ilvl="0">
      <w:start w:val="1"/>
      <w:numFmt w:val="bullet"/>
      <w:lvlText w:val=""/>
      <w:lvlJc w:val="left"/>
      <w:pPr>
        <w:tabs>
          <w:tab w:val="num" w:pos="360"/>
        </w:tabs>
        <w:ind w:left="360" w:hanging="360"/>
      </w:pPr>
      <w:rPr>
        <w:rFonts w:ascii="Symbol" w:hAnsi="Symbol" w:hint="default"/>
        <w:sz w:val="22"/>
      </w:rPr>
    </w:lvl>
  </w:abstractNum>
  <w:abstractNum w:abstractNumId="12"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1E5D0997"/>
    <w:multiLevelType w:val="hybridMultilevel"/>
    <w:tmpl w:val="47B8E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D63D45"/>
    <w:multiLevelType w:val="hybridMultilevel"/>
    <w:tmpl w:val="5EDA4F56"/>
    <w:lvl w:ilvl="0" w:tplc="D92E6444">
      <w:start w:val="1"/>
      <w:numFmt w:val="bullet"/>
      <w:pStyle w:val="text"/>
      <w:lvlText w:val="●"/>
      <w:lvlJc w:val="left"/>
      <w:pPr>
        <w:tabs>
          <w:tab w:val="num" w:pos="360"/>
        </w:tabs>
        <w:ind w:left="360" w:hanging="360"/>
      </w:pPr>
      <w:rPr>
        <w:rFonts w:ascii="Verdana" w:hAnsi="Verdana" w:hint="default"/>
        <w:b w:val="0"/>
        <w:i w:val="0"/>
        <w:color w:val="auto"/>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026756"/>
    <w:multiLevelType w:val="hybridMultilevel"/>
    <w:tmpl w:val="7160EC94"/>
    <w:lvl w:ilvl="0" w:tplc="8458B106">
      <w:start w:val="1"/>
      <w:numFmt w:val="bullet"/>
      <w:lvlText w:val="●"/>
      <w:lvlJc w:val="left"/>
      <w:pPr>
        <w:tabs>
          <w:tab w:val="num" w:pos="360"/>
        </w:tabs>
        <w:ind w:left="360" w:hanging="360"/>
      </w:pPr>
      <w:rPr>
        <w:rFonts w:ascii="Verdana" w:hAnsi="Verdana" w:hint="default"/>
        <w:b w:val="0"/>
        <w:i w:val="0"/>
        <w:color w:val="auto"/>
        <w:sz w:val="16"/>
        <w:szCs w:val="16"/>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80E43E76"/>
    <w:numStyleLink w:val="Listnum"/>
  </w:abstractNum>
  <w:abstractNum w:abstractNumId="19" w15:restartNumberingAfterBreak="0">
    <w:nsid w:val="2A634C4B"/>
    <w:multiLevelType w:val="hybridMultilevel"/>
    <w:tmpl w:val="FACAC444"/>
    <w:lvl w:ilvl="0" w:tplc="FFFFFFFF">
      <w:start w:val="1"/>
      <w:numFmt w:val="bullet"/>
      <w:pStyle w:val="Feature1textbullets"/>
      <w:lvlText w:val="●"/>
      <w:lvlJc w:val="left"/>
      <w:pPr>
        <w:tabs>
          <w:tab w:val="num" w:pos="505"/>
        </w:tabs>
        <w:ind w:left="505" w:hanging="397"/>
      </w:pPr>
      <w:rPr>
        <w:rFonts w:ascii="Arial" w:hAnsi="Aria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3F3715"/>
    <w:multiLevelType w:val="multilevel"/>
    <w:tmpl w:val="80E43E76"/>
    <w:numStyleLink w:val="Listnum"/>
  </w:abstractNum>
  <w:abstractNum w:abstractNumId="21" w15:restartNumberingAfterBreak="0">
    <w:nsid w:val="390D7980"/>
    <w:multiLevelType w:val="hybridMultilevel"/>
    <w:tmpl w:val="8DC8BE30"/>
    <w:lvl w:ilvl="0" w:tplc="BFBE8B2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786405"/>
    <w:multiLevelType w:val="hybridMultilevel"/>
    <w:tmpl w:val="A052D274"/>
    <w:lvl w:ilvl="0" w:tplc="48647D16">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Arial"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F077B4D"/>
    <w:multiLevelType w:val="hybridMultilevel"/>
    <w:tmpl w:val="300CBC1E"/>
    <w:lvl w:ilvl="0" w:tplc="48647D16">
      <w:start w:val="1"/>
      <w:numFmt w:val="decimal"/>
      <w:lvlText w:val="%1."/>
      <w:lvlJc w:val="left"/>
      <w:pPr>
        <w:ind w:left="720" w:hanging="360"/>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4" w15:restartNumberingAfterBreak="0">
    <w:nsid w:val="5DE279B0"/>
    <w:multiLevelType w:val="multilevel"/>
    <w:tmpl w:val="29505346"/>
    <w:numStyleLink w:val="Listtable"/>
  </w:abstractNum>
  <w:abstractNum w:abstractNumId="25" w15:restartNumberingAfterBreak="0">
    <w:nsid w:val="66D24E1B"/>
    <w:multiLevelType w:val="hybridMultilevel"/>
    <w:tmpl w:val="4E86F13C"/>
    <w:lvl w:ilvl="0" w:tplc="48647D16">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97B65A6"/>
    <w:multiLevelType w:val="multilevel"/>
    <w:tmpl w:val="F43C3202"/>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7246464C"/>
    <w:multiLevelType w:val="hybridMultilevel"/>
    <w:tmpl w:val="B2F04BC6"/>
    <w:lvl w:ilvl="0" w:tplc="48647D16">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9" w15:restartNumberingAfterBreak="0">
    <w:nsid w:val="75E357D0"/>
    <w:multiLevelType w:val="hybridMultilevel"/>
    <w:tmpl w:val="FCD06822"/>
    <w:lvl w:ilvl="0" w:tplc="48647D16">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2144497781">
    <w:abstractNumId w:val="30"/>
  </w:num>
  <w:num w:numId="2" w16cid:durableId="169413755">
    <w:abstractNumId w:val="28"/>
  </w:num>
  <w:num w:numId="3" w16cid:durableId="1903061224">
    <w:abstractNumId w:val="10"/>
  </w:num>
  <w:num w:numId="4" w16cid:durableId="1630433724">
    <w:abstractNumId w:val="29"/>
  </w:num>
  <w:num w:numId="5" w16cid:durableId="49497548">
    <w:abstractNumId w:val="19"/>
  </w:num>
  <w:num w:numId="6" w16cid:durableId="1813718990">
    <w:abstractNumId w:val="20"/>
  </w:num>
  <w:num w:numId="7" w16cid:durableId="984966969">
    <w:abstractNumId w:val="18"/>
  </w:num>
  <w:num w:numId="8" w16cid:durableId="933973108">
    <w:abstractNumId w:val="26"/>
  </w:num>
  <w:num w:numId="9" w16cid:durableId="886644080">
    <w:abstractNumId w:val="13"/>
  </w:num>
  <w:num w:numId="10" w16cid:durableId="266471122">
    <w:abstractNumId w:val="27"/>
  </w:num>
  <w:num w:numId="11" w16cid:durableId="1664509645">
    <w:abstractNumId w:val="12"/>
  </w:num>
  <w:num w:numId="12" w16cid:durableId="619410677">
    <w:abstractNumId w:val="24"/>
  </w:num>
  <w:num w:numId="13" w16cid:durableId="548536396">
    <w:abstractNumId w:val="9"/>
  </w:num>
  <w:num w:numId="14" w16cid:durableId="4720093">
    <w:abstractNumId w:val="7"/>
  </w:num>
  <w:num w:numId="15" w16cid:durableId="482694893">
    <w:abstractNumId w:val="6"/>
  </w:num>
  <w:num w:numId="16" w16cid:durableId="110563425">
    <w:abstractNumId w:val="5"/>
  </w:num>
  <w:num w:numId="17" w16cid:durableId="236398635">
    <w:abstractNumId w:val="4"/>
  </w:num>
  <w:num w:numId="18" w16cid:durableId="877397802">
    <w:abstractNumId w:val="8"/>
  </w:num>
  <w:num w:numId="19" w16cid:durableId="195893783">
    <w:abstractNumId w:val="3"/>
  </w:num>
  <w:num w:numId="20" w16cid:durableId="251353996">
    <w:abstractNumId w:val="2"/>
  </w:num>
  <w:num w:numId="21" w16cid:durableId="1485122436">
    <w:abstractNumId w:val="1"/>
  </w:num>
  <w:num w:numId="22" w16cid:durableId="349843859">
    <w:abstractNumId w:val="0"/>
  </w:num>
  <w:num w:numId="23" w16cid:durableId="553197861">
    <w:abstractNumId w:val="11"/>
  </w:num>
  <w:num w:numId="24" w16cid:durableId="802504841">
    <w:abstractNumId w:val="14"/>
  </w:num>
  <w:num w:numId="25" w16cid:durableId="352996243">
    <w:abstractNumId w:val="23"/>
  </w:num>
  <w:num w:numId="26" w16cid:durableId="212818335">
    <w:abstractNumId w:val="22"/>
  </w:num>
  <w:num w:numId="27" w16cid:durableId="2137210536">
    <w:abstractNumId w:val="17"/>
  </w:num>
  <w:num w:numId="28" w16cid:durableId="1737783035">
    <w:abstractNumId w:val="25"/>
  </w:num>
  <w:num w:numId="29" w16cid:durableId="1511795743">
    <w:abstractNumId w:val="15"/>
  </w:num>
  <w:num w:numId="30" w16cid:durableId="178310651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57701644">
    <w:abstractNumId w:val="16"/>
  </w:num>
  <w:num w:numId="32" w16cid:durableId="677733921">
    <w:abstractNumId w:val="21"/>
  </w:num>
  <w:num w:numId="33" w16cid:durableId="1413429419">
    <w:abstractNumId w:val="27"/>
  </w:num>
  <w:num w:numId="34" w16cid:durableId="613754059">
    <w:abstractNumId w:val="27"/>
  </w:num>
  <w:num w:numId="35" w16cid:durableId="1070225139">
    <w:abstractNumId w:val="27"/>
  </w:num>
  <w:num w:numId="36" w16cid:durableId="1730689885">
    <w:abstractNumId w:val="27"/>
  </w:num>
  <w:num w:numId="37" w16cid:durableId="825901044">
    <w:abstractNumId w:val="27"/>
  </w:num>
  <w:num w:numId="38" w16cid:durableId="971860269">
    <w:abstractNumId w:val="27"/>
  </w:num>
  <w:num w:numId="39" w16cid:durableId="600990498">
    <w:abstractNumId w:val="27"/>
  </w:num>
  <w:num w:numId="40" w16cid:durableId="1250190018">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7E55"/>
    <w:rsid w:val="00003F80"/>
    <w:rsid w:val="00007504"/>
    <w:rsid w:val="000348B2"/>
    <w:rsid w:val="00090077"/>
    <w:rsid w:val="000A4475"/>
    <w:rsid w:val="000B32B0"/>
    <w:rsid w:val="00130940"/>
    <w:rsid w:val="001625B9"/>
    <w:rsid w:val="00170951"/>
    <w:rsid w:val="0018644E"/>
    <w:rsid w:val="001868E5"/>
    <w:rsid w:val="00196F43"/>
    <w:rsid w:val="001A0E0D"/>
    <w:rsid w:val="001A174D"/>
    <w:rsid w:val="00216D52"/>
    <w:rsid w:val="002229E7"/>
    <w:rsid w:val="00247716"/>
    <w:rsid w:val="00261C07"/>
    <w:rsid w:val="0029048A"/>
    <w:rsid w:val="002A21ED"/>
    <w:rsid w:val="002A4917"/>
    <w:rsid w:val="002B2F84"/>
    <w:rsid w:val="002B37B4"/>
    <w:rsid w:val="00316446"/>
    <w:rsid w:val="00324D84"/>
    <w:rsid w:val="00367A4F"/>
    <w:rsid w:val="00377CAC"/>
    <w:rsid w:val="00390687"/>
    <w:rsid w:val="00396A10"/>
    <w:rsid w:val="003B5442"/>
    <w:rsid w:val="003C782D"/>
    <w:rsid w:val="003E693A"/>
    <w:rsid w:val="003E748C"/>
    <w:rsid w:val="003F4E77"/>
    <w:rsid w:val="00402B66"/>
    <w:rsid w:val="0041268B"/>
    <w:rsid w:val="00415D03"/>
    <w:rsid w:val="00421A7D"/>
    <w:rsid w:val="00422FE1"/>
    <w:rsid w:val="00442C8E"/>
    <w:rsid w:val="00452AAB"/>
    <w:rsid w:val="00461D34"/>
    <w:rsid w:val="004A7E9D"/>
    <w:rsid w:val="004B0662"/>
    <w:rsid w:val="004C5E34"/>
    <w:rsid w:val="004C79A5"/>
    <w:rsid w:val="004D3250"/>
    <w:rsid w:val="004F15B2"/>
    <w:rsid w:val="0055106C"/>
    <w:rsid w:val="00557C06"/>
    <w:rsid w:val="00580B47"/>
    <w:rsid w:val="0059135A"/>
    <w:rsid w:val="005A1685"/>
    <w:rsid w:val="005F351D"/>
    <w:rsid w:val="00616E28"/>
    <w:rsid w:val="00621844"/>
    <w:rsid w:val="00627CCE"/>
    <w:rsid w:val="006328BB"/>
    <w:rsid w:val="00632C67"/>
    <w:rsid w:val="006423C2"/>
    <w:rsid w:val="00681851"/>
    <w:rsid w:val="00687A5B"/>
    <w:rsid w:val="0069535D"/>
    <w:rsid w:val="006C399D"/>
    <w:rsid w:val="006F60E3"/>
    <w:rsid w:val="00740453"/>
    <w:rsid w:val="00744640"/>
    <w:rsid w:val="00791717"/>
    <w:rsid w:val="007A2D7D"/>
    <w:rsid w:val="007A7B60"/>
    <w:rsid w:val="007B5AF5"/>
    <w:rsid w:val="007E2E98"/>
    <w:rsid w:val="00805336"/>
    <w:rsid w:val="00807E6A"/>
    <w:rsid w:val="0081014A"/>
    <w:rsid w:val="00843E0D"/>
    <w:rsid w:val="008449A7"/>
    <w:rsid w:val="00861951"/>
    <w:rsid w:val="00873C45"/>
    <w:rsid w:val="00892512"/>
    <w:rsid w:val="008A3601"/>
    <w:rsid w:val="008A71E5"/>
    <w:rsid w:val="008C0AD2"/>
    <w:rsid w:val="008C20D4"/>
    <w:rsid w:val="008D2216"/>
    <w:rsid w:val="008D3CA4"/>
    <w:rsid w:val="008D6666"/>
    <w:rsid w:val="008E4299"/>
    <w:rsid w:val="008F6B94"/>
    <w:rsid w:val="00900C12"/>
    <w:rsid w:val="00900EF1"/>
    <w:rsid w:val="00912436"/>
    <w:rsid w:val="0091514E"/>
    <w:rsid w:val="0093385A"/>
    <w:rsid w:val="009836CD"/>
    <w:rsid w:val="009A4F4B"/>
    <w:rsid w:val="009B43F6"/>
    <w:rsid w:val="00A23C84"/>
    <w:rsid w:val="00A42441"/>
    <w:rsid w:val="00A56171"/>
    <w:rsid w:val="00A675FC"/>
    <w:rsid w:val="00A76A45"/>
    <w:rsid w:val="00A9252F"/>
    <w:rsid w:val="00A93C2E"/>
    <w:rsid w:val="00AB271D"/>
    <w:rsid w:val="00AC6E6A"/>
    <w:rsid w:val="00AD2D79"/>
    <w:rsid w:val="00AE7278"/>
    <w:rsid w:val="00B629C4"/>
    <w:rsid w:val="00B67403"/>
    <w:rsid w:val="00B84960"/>
    <w:rsid w:val="00BA3CE0"/>
    <w:rsid w:val="00BA460D"/>
    <w:rsid w:val="00BB31BB"/>
    <w:rsid w:val="00C03784"/>
    <w:rsid w:val="00C17CBB"/>
    <w:rsid w:val="00C2100D"/>
    <w:rsid w:val="00C27B55"/>
    <w:rsid w:val="00C47D0F"/>
    <w:rsid w:val="00C508DF"/>
    <w:rsid w:val="00C62ED7"/>
    <w:rsid w:val="00C93B5C"/>
    <w:rsid w:val="00CC5D35"/>
    <w:rsid w:val="00CE495F"/>
    <w:rsid w:val="00CE581B"/>
    <w:rsid w:val="00D3568E"/>
    <w:rsid w:val="00D6461F"/>
    <w:rsid w:val="00D779FA"/>
    <w:rsid w:val="00D86DAD"/>
    <w:rsid w:val="00DB6F40"/>
    <w:rsid w:val="00DC103E"/>
    <w:rsid w:val="00DC15E5"/>
    <w:rsid w:val="00DC4EB6"/>
    <w:rsid w:val="00DD1B75"/>
    <w:rsid w:val="00DF66CA"/>
    <w:rsid w:val="00E15475"/>
    <w:rsid w:val="00E24ABF"/>
    <w:rsid w:val="00E4781E"/>
    <w:rsid w:val="00E65278"/>
    <w:rsid w:val="00E656F5"/>
    <w:rsid w:val="00E90A1E"/>
    <w:rsid w:val="00EB7BA3"/>
    <w:rsid w:val="00F37612"/>
    <w:rsid w:val="00F440B3"/>
    <w:rsid w:val="00F91692"/>
    <w:rsid w:val="00FA652A"/>
    <w:rsid w:val="00FB671C"/>
    <w:rsid w:val="00FE2379"/>
    <w:rsid w:val="00FF51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oNotEmbedSmartTags/>
  <w:decimalSymbol w:val="."/>
  <w:listSeparator w:val=","/>
  <w14:docId w14:val="2BE4BA8F"/>
  <w15:chartTrackingRefBased/>
  <w15:docId w15:val="{B749310F-13F4-487B-B8BE-072B14A6D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637F"/>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uiPriority w:val="99"/>
    <w:rsid w:val="00FF3F3D"/>
    <w:pPr>
      <w:pBdr>
        <w:top w:val="single" w:sz="6" w:space="4" w:color="828172"/>
      </w:pBdr>
      <w:ind w:left="-57" w:right="-57"/>
    </w:pPr>
    <w:rPr>
      <w:rFonts w:ascii="Verdana" w:hAnsi="Verdana"/>
      <w:sz w:val="14"/>
      <w:szCs w:val="24"/>
      <w:lang w:eastAsia="en-US"/>
    </w:rPr>
  </w:style>
  <w:style w:type="paragraph" w:styleId="Header">
    <w:name w:val="header"/>
    <w:rsid w:val="00731BE6"/>
    <w:pPr>
      <w:spacing w:before="260"/>
      <w:jc w:val="right"/>
    </w:pPr>
    <w:rPr>
      <w:rFonts w:ascii="Verdana" w:hAnsi="Verdana"/>
      <w:b/>
      <w:color w:val="405E64"/>
      <w:sz w:val="19"/>
      <w:szCs w:val="24"/>
      <w:lang w:eastAsia="en-US"/>
    </w:rPr>
  </w:style>
  <w:style w:type="paragraph" w:customStyle="1" w:styleId="Unithead">
    <w:name w:val="Unit head"/>
    <w:next w:val="text"/>
    <w:qFormat/>
    <w:rsid w:val="00395F49"/>
    <w:pPr>
      <w:pBdr>
        <w:top w:val="single" w:sz="8" w:space="2" w:color="827B72"/>
        <w:bottom w:val="single" w:sz="8" w:space="2" w:color="827B72"/>
      </w:pBdr>
      <w:spacing w:after="360" w:line="440" w:lineRule="exact"/>
      <w:ind w:left="28" w:right="284"/>
    </w:pPr>
    <w:rPr>
      <w:rFonts w:ascii="Verdana" w:hAnsi="Verdana"/>
      <w:b/>
      <w:color w:val="405E64"/>
      <w:sz w:val="40"/>
      <w:szCs w:val="50"/>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C07932"/>
    <w:rPr>
      <w:rFonts w:ascii="Verdana" w:hAnsi="Verdana"/>
      <w:b/>
      <w:color w:val="405E64"/>
    </w:rPr>
  </w:style>
  <w:style w:type="paragraph" w:customStyle="1" w:styleId="Ahead">
    <w:name w:val="A head"/>
    <w:next w:val="text"/>
    <w:qFormat/>
    <w:rsid w:val="00395F49"/>
    <w:pPr>
      <w:keepNext/>
      <w:pBdr>
        <w:bottom w:val="single" w:sz="8" w:space="1" w:color="827B72"/>
      </w:pBdr>
      <w:spacing w:before="120" w:after="360"/>
    </w:pPr>
    <w:rPr>
      <w:rFonts w:ascii="Verdana" w:hAnsi="Verdana"/>
      <w:b/>
      <w:color w:val="405E64"/>
      <w:sz w:val="32"/>
      <w:szCs w:val="24"/>
      <w:lang w:eastAsia="en-US"/>
    </w:rPr>
  </w:style>
  <w:style w:type="paragraph" w:customStyle="1" w:styleId="Bhead">
    <w:name w:val="B head"/>
    <w:next w:val="text"/>
    <w:qFormat/>
    <w:rsid w:val="000B4ACD"/>
    <w:pPr>
      <w:keepNext/>
      <w:spacing w:before="240" w:after="120"/>
    </w:pPr>
    <w:rPr>
      <w:rFonts w:ascii="Verdana" w:hAnsi="Verdana" w:cs="Arial"/>
      <w:b/>
      <w:color w:val="405E64"/>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link w:val="textbulletsChar"/>
    <w:qFormat/>
    <w:rsid w:val="004F33FE"/>
    <w:pPr>
      <w:numPr>
        <w:numId w:val="9"/>
      </w:numPr>
      <w:tabs>
        <w:tab w:val="clear" w:pos="397"/>
        <w:tab w:val="left" w:pos="964"/>
      </w:tabs>
      <w:spacing w:before="80" w:after="60" w:line="240" w:lineRule="atLeast"/>
      <w:ind w:left="964"/>
    </w:pPr>
    <w:rPr>
      <w:rFonts w:ascii="Verdana" w:hAnsi="Verdana"/>
      <w:szCs w:val="24"/>
      <w:lang w:eastAsia="es-ES_tradnl"/>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FF1E30"/>
    <w:rPr>
      <w:rFonts w:ascii="Verdana" w:hAnsi="Verdana" w:cs="Arial"/>
      <w:szCs w:val="24"/>
      <w:lang w:val="en-GB" w:eastAsia="en-US" w:bidi="ar-SA"/>
    </w:rPr>
  </w:style>
  <w:style w:type="paragraph" w:customStyle="1" w:styleId="Numberedlist">
    <w:name w:val="Numbered list"/>
    <w:qFormat/>
    <w:rsid w:val="00AC5366"/>
    <w:pPr>
      <w:numPr>
        <w:numId w:val="24"/>
      </w:numPr>
      <w:tabs>
        <w:tab w:val="left" w:pos="964"/>
      </w:tabs>
      <w:spacing w:before="80" w:after="60" w:line="240" w:lineRule="atLeast"/>
      <w:ind w:left="964" w:hanging="397"/>
    </w:pPr>
    <w:rPr>
      <w:rFonts w:ascii="Verdana" w:hAnsi="Verdana"/>
      <w:szCs w:val="24"/>
    </w:rPr>
  </w:style>
  <w:style w:type="paragraph" w:customStyle="1" w:styleId="Feature1head">
    <w:name w:val="Feature 1 head"/>
    <w:next w:val="Feature1text"/>
    <w:qFormat/>
    <w:rsid w:val="00925DAB"/>
    <w:pPr>
      <w:keepNext/>
      <w:pBdr>
        <w:top w:val="single" w:sz="4" w:space="2" w:color="405E64"/>
        <w:left w:val="single" w:sz="4" w:space="4" w:color="405E64"/>
        <w:bottom w:val="single" w:sz="4" w:space="2" w:color="405E64"/>
        <w:right w:val="single" w:sz="4" w:space="4" w:color="405E64"/>
      </w:pBdr>
      <w:shd w:val="clear" w:color="auto" w:fill="E6E6E6"/>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925DAB"/>
    <w:pPr>
      <w:keepNext/>
      <w:pBdr>
        <w:top w:val="single" w:sz="4" w:space="2" w:color="405E64"/>
        <w:left w:val="single" w:sz="4" w:space="4" w:color="405E64"/>
        <w:bottom w:val="single" w:sz="4" w:space="2" w:color="405E64"/>
        <w:right w:val="single" w:sz="4" w:space="4" w:color="405E64"/>
      </w:pBdr>
      <w:shd w:val="clear" w:color="auto" w:fill="E6E6E6"/>
      <w:spacing w:before="80" w:after="60"/>
      <w:ind w:left="675" w:right="108"/>
    </w:pPr>
    <w:rPr>
      <w:rFonts w:ascii="Verdana" w:hAnsi="Verdana" w:cs="Arial"/>
      <w:b/>
      <w:szCs w:val="24"/>
      <w:lang w:eastAsia="en-US"/>
    </w:rPr>
  </w:style>
  <w:style w:type="paragraph" w:customStyle="1" w:styleId="Feature1text">
    <w:name w:val="Feature 1 text"/>
    <w:qFormat/>
    <w:rsid w:val="00925DAB"/>
    <w:pPr>
      <w:pBdr>
        <w:top w:val="single" w:sz="4" w:space="2" w:color="405E64"/>
        <w:left w:val="single" w:sz="4" w:space="4" w:color="405E64"/>
        <w:bottom w:val="single" w:sz="4" w:space="2" w:color="405E64"/>
        <w:right w:val="single" w:sz="4" w:space="4" w:color="405E64"/>
      </w:pBdr>
      <w:shd w:val="clear" w:color="auto" w:fill="E6E6E6"/>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925DAB"/>
    <w:pPr>
      <w:numPr>
        <w:numId w:val="5"/>
      </w:numPr>
      <w:pBdr>
        <w:top w:val="single" w:sz="4" w:space="2" w:color="405E64"/>
        <w:left w:val="single" w:sz="4" w:space="4" w:color="405E64"/>
        <w:bottom w:val="single" w:sz="4" w:space="2" w:color="405E64"/>
        <w:right w:val="single" w:sz="4" w:space="4" w:color="405E64"/>
      </w:pBdr>
      <w:shd w:val="clear" w:color="auto" w:fill="E6E6E6"/>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FF1E30"/>
    <w:pPr>
      <w:keepNext/>
      <w:pBdr>
        <w:top w:val="single" w:sz="4" w:space="2" w:color="405E64"/>
        <w:left w:val="single" w:sz="4" w:space="4" w:color="405E64"/>
        <w:bottom w:val="single" w:sz="4" w:space="2" w:color="405E64"/>
        <w:right w:val="single" w:sz="4" w:space="4" w:color="405E64"/>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925DAB"/>
    <w:pPr>
      <w:numPr>
        <w:numId w:val="8"/>
      </w:numPr>
      <w:pBdr>
        <w:top w:val="single" w:sz="4" w:space="2" w:color="405E64"/>
        <w:left w:val="single" w:sz="4" w:space="4" w:color="405E64"/>
        <w:bottom w:val="single" w:sz="4" w:space="2" w:color="405E64"/>
        <w:right w:val="single" w:sz="4" w:space="4" w:color="405E64"/>
      </w:pBdr>
      <w:shd w:val="clear" w:color="auto" w:fill="E6E6E6"/>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FF1E30"/>
    <w:pPr>
      <w:keepNext/>
      <w:pBdr>
        <w:top w:val="single" w:sz="4" w:space="2" w:color="405E64"/>
        <w:left w:val="single" w:sz="4" w:space="4" w:color="405E64"/>
        <w:bottom w:val="single" w:sz="4" w:space="2" w:color="405E64"/>
        <w:right w:val="single" w:sz="4" w:space="4" w:color="405E64"/>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FF1E30"/>
    <w:pPr>
      <w:pBdr>
        <w:top w:val="single" w:sz="4" w:space="2" w:color="405E64"/>
        <w:left w:val="single" w:sz="4" w:space="4" w:color="405E64"/>
        <w:bottom w:val="single" w:sz="4" w:space="2" w:color="405E64"/>
        <w:right w:val="single" w:sz="4" w:space="4" w:color="405E64"/>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FF1E30"/>
    <w:pPr>
      <w:numPr>
        <w:numId w:val="4"/>
      </w:numPr>
      <w:pBdr>
        <w:top w:val="single" w:sz="4" w:space="2" w:color="405E64"/>
        <w:left w:val="single" w:sz="4" w:space="4" w:color="405E64"/>
        <w:bottom w:val="single" w:sz="4" w:space="2" w:color="405E64"/>
        <w:right w:val="single" w:sz="4" w:space="4" w:color="405E64"/>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FF1E30"/>
    <w:pPr>
      <w:numPr>
        <w:numId w:val="6"/>
      </w:numPr>
      <w:pBdr>
        <w:top w:val="single" w:sz="4" w:space="2" w:color="405E64"/>
        <w:left w:val="single" w:sz="4" w:space="4" w:color="405E64"/>
        <w:bottom w:val="single" w:sz="4" w:space="2" w:color="405E64"/>
        <w:right w:val="single" w:sz="4" w:space="4" w:color="405E64"/>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10"/>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2"/>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747747"/>
    <w:rPr>
      <w:rFonts w:ascii="Verdana" w:hAnsi="Verdana"/>
    </w:rPr>
    <w:tblPr>
      <w:tblInd w:w="108" w:type="dxa"/>
      <w:tblBorders>
        <w:top w:val="single" w:sz="4" w:space="0" w:color="405E64"/>
        <w:left w:val="single" w:sz="4" w:space="0" w:color="405E64"/>
        <w:bottom w:val="single" w:sz="4" w:space="0" w:color="405E64"/>
        <w:right w:val="single" w:sz="4" w:space="0" w:color="405E64"/>
        <w:insideH w:val="single" w:sz="4" w:space="0" w:color="405E64"/>
        <w:insideV w:val="single" w:sz="4" w:space="0" w:color="405E64"/>
      </w:tblBorders>
    </w:tblPr>
    <w:tblStylePr w:type="firstRow">
      <w:tblPr/>
      <w:tcPr>
        <w:tcBorders>
          <w:top w:val="single" w:sz="4" w:space="0" w:color="405E64"/>
          <w:left w:val="single" w:sz="4" w:space="0" w:color="405E64"/>
          <w:bottom w:val="single" w:sz="4" w:space="0" w:color="405E64"/>
          <w:right w:val="single" w:sz="4" w:space="0" w:color="405E64"/>
          <w:insideH w:val="single" w:sz="4" w:space="0" w:color="405E64"/>
          <w:insideV w:val="single" w:sz="4" w:space="0" w:color="405E64"/>
          <w:tl2br w:val="nil"/>
          <w:tr2bl w:val="nil"/>
        </w:tcBorders>
        <w:shd w:val="clear" w:color="auto" w:fill="DBE3E6"/>
      </w:tcPr>
    </w:tblStylePr>
  </w:style>
  <w:style w:type="table" w:customStyle="1" w:styleId="Table4">
    <w:name w:val="Table 4"/>
    <w:basedOn w:val="TableNormal"/>
    <w:rsid w:val="00C823A0"/>
    <w:rPr>
      <w:rFonts w:ascii="Verdana" w:hAnsi="Verdana"/>
    </w:rPr>
    <w:tblPr>
      <w:tblInd w:w="108" w:type="dxa"/>
      <w:tblBorders>
        <w:top w:val="single" w:sz="4" w:space="0" w:color="828172"/>
        <w:left w:val="single" w:sz="4" w:space="0" w:color="828172"/>
        <w:bottom w:val="single" w:sz="4" w:space="0" w:color="828172"/>
        <w:right w:val="single" w:sz="4" w:space="0" w:color="828172"/>
        <w:insideH w:val="single" w:sz="4" w:space="0" w:color="828172"/>
        <w:insideV w:val="single" w:sz="4" w:space="0" w:color="828172"/>
      </w:tblBorders>
    </w:tblPr>
    <w:tblStylePr w:type="firstRow">
      <w:rPr>
        <w:color w:val="FFFFFF"/>
      </w:rPr>
      <w:tblPr/>
      <w:tcPr>
        <w:tcBorders>
          <w:top w:val="single" w:sz="4" w:space="0" w:color="828172"/>
          <w:left w:val="single" w:sz="4" w:space="0" w:color="828172"/>
          <w:bottom w:val="single" w:sz="4" w:space="0" w:color="828172"/>
          <w:right w:val="single" w:sz="4" w:space="0" w:color="828172"/>
          <w:insideH w:val="single" w:sz="4" w:space="0" w:color="828172"/>
          <w:insideV w:val="single" w:sz="4" w:space="0" w:color="828172"/>
          <w:tl2br w:val="nil"/>
          <w:tr2bl w:val="nil"/>
        </w:tcBorders>
        <w:shd w:val="clear" w:color="auto" w:fill="405E64"/>
      </w:tcPr>
    </w:tblStylePr>
    <w:tblStylePr w:type="firstCol">
      <w:rPr>
        <w:color w:val="FFFFFF"/>
      </w:rPr>
      <w:tblPr/>
      <w:tcPr>
        <w:tcBorders>
          <w:top w:val="single" w:sz="4" w:space="0" w:color="DBE3E6"/>
          <w:left w:val="single" w:sz="4" w:space="0" w:color="DBE3E6"/>
          <w:bottom w:val="single" w:sz="4" w:space="0" w:color="DBE3E6"/>
          <w:right w:val="single" w:sz="4" w:space="0" w:color="DBE3E6"/>
          <w:insideH w:val="nil"/>
          <w:insideV w:val="nil"/>
          <w:tl2br w:val="nil"/>
          <w:tr2bl w:val="nil"/>
        </w:tcBorders>
        <w:shd w:val="clear" w:color="auto" w:fill="405E64"/>
      </w:tcPr>
    </w:tblStylePr>
  </w:style>
  <w:style w:type="table" w:customStyle="1" w:styleId="Table3">
    <w:name w:val="Table 3"/>
    <w:basedOn w:val="TableNormal"/>
    <w:rsid w:val="00145959"/>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3E6"/>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405E64"/>
      </w:tcPr>
    </w:tblStylePr>
  </w:style>
  <w:style w:type="paragraph" w:customStyle="1" w:styleId="HeaderOdd">
    <w:name w:val="Header Odd"/>
    <w:basedOn w:val="Header"/>
    <w:rsid w:val="00731BE6"/>
    <w:pPr>
      <w:jc w:val="left"/>
    </w:pPr>
  </w:style>
  <w:style w:type="paragraph" w:customStyle="1" w:styleId="IconRight">
    <w:name w:val="IconRight"/>
    <w:basedOn w:val="Normal"/>
    <w:rsid w:val="00E37DA2"/>
    <w:pPr>
      <w:framePr w:w="1429" w:h="907" w:hSpace="2268" w:wrap="around" w:vAnchor="page" w:hAnchor="page" w:xAlign="outside" w:y="313"/>
      <w:jc w:val="right"/>
    </w:pPr>
  </w:style>
  <w:style w:type="numbering" w:customStyle="1" w:styleId="Listfeature">
    <w:name w:val="List feature"/>
    <w:basedOn w:val="NoList"/>
    <w:semiHidden/>
    <w:rsid w:val="00662D9D"/>
    <w:pPr>
      <w:numPr>
        <w:numId w:val="8"/>
      </w:numPr>
    </w:pPr>
  </w:style>
  <w:style w:type="numbering" w:customStyle="1" w:styleId="Listtable">
    <w:name w:val="List table"/>
    <w:basedOn w:val="NoList"/>
    <w:semiHidden/>
    <w:rsid w:val="00E0515F"/>
    <w:pPr>
      <w:numPr>
        <w:numId w:val="11"/>
      </w:numPr>
    </w:pPr>
  </w:style>
  <w:style w:type="table" w:customStyle="1" w:styleId="Table2">
    <w:name w:val="Table 2"/>
    <w:basedOn w:val="TableNormal"/>
    <w:rsid w:val="00702D66"/>
    <w:rPr>
      <w:rFonts w:ascii="Verdana" w:hAnsi="Verdana"/>
    </w:rPr>
    <w:tblPr>
      <w:tblInd w:w="108" w:type="dxa"/>
      <w:tblBorders>
        <w:top w:val="single" w:sz="4" w:space="0" w:color="405E64"/>
        <w:left w:val="single" w:sz="4" w:space="0" w:color="405E64"/>
        <w:bottom w:val="single" w:sz="4" w:space="0" w:color="405E64"/>
        <w:right w:val="single" w:sz="4" w:space="0" w:color="405E64"/>
        <w:insideH w:val="single" w:sz="4" w:space="0" w:color="405E64"/>
        <w:insideV w:val="single" w:sz="4" w:space="0" w:color="405E64"/>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E94D68"/>
    <w:pPr>
      <w:pBdr>
        <w:bottom w:val="single" w:sz="12" w:space="1" w:color="405E64"/>
      </w:pBdr>
      <w:shd w:val="clear" w:color="auto" w:fill="405E64"/>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C30CCD"/>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A44494"/>
    <w:pPr>
      <w:framePr w:w="1429" w:h="907" w:hSpace="2268" w:wrap="around" w:vAnchor="page" w:hAnchor="page" w:xAlign="outside" w:y="313"/>
    </w:pPr>
    <w:rPr>
      <w:sz w:val="24"/>
      <w:szCs w:val="24"/>
      <w:lang w:eastAsia="en-US"/>
    </w:rPr>
  </w:style>
  <w:style w:type="paragraph" w:customStyle="1" w:styleId="Sourcetext">
    <w:name w:val="Source text"/>
    <w:basedOn w:val="Normal"/>
    <w:qFormat/>
    <w:rsid w:val="00A30534"/>
    <w:pPr>
      <w:autoSpaceDE w:val="0"/>
      <w:autoSpaceDN w:val="0"/>
      <w:adjustRightInd w:val="0"/>
      <w:spacing w:before="120" w:after="120"/>
    </w:pPr>
    <w:rPr>
      <w:rFonts w:ascii="Verdana" w:hAnsi="Verdana" w:cs="MyriadPro-Regular"/>
      <w:i/>
      <w:sz w:val="20"/>
      <w:szCs w:val="20"/>
      <w:lang w:eastAsia="en-GB"/>
    </w:rPr>
  </w:style>
  <w:style w:type="paragraph" w:customStyle="1" w:styleId="tabletexthd">
    <w:name w:val="table text hd"/>
    <w:rsid w:val="0010147D"/>
    <w:pPr>
      <w:spacing w:before="120" w:after="60" w:line="260" w:lineRule="atLeast"/>
    </w:pPr>
    <w:rPr>
      <w:rFonts w:ascii="Verdana" w:hAnsi="Verdana"/>
      <w:b/>
      <w:color w:val="FFFFFF"/>
      <w:szCs w:val="22"/>
      <w:lang w:eastAsia="en-US"/>
    </w:rPr>
  </w:style>
  <w:style w:type="character" w:customStyle="1" w:styleId="textbulletsChar">
    <w:name w:val="text bullets Char"/>
    <w:link w:val="textbullets"/>
    <w:rsid w:val="0010147D"/>
    <w:rPr>
      <w:rFonts w:ascii="Verdana" w:hAnsi="Verdana"/>
      <w:szCs w:val="24"/>
      <w:lang w:val="en-GB" w:bidi="ar-SA"/>
    </w:rPr>
  </w:style>
  <w:style w:type="paragraph" w:customStyle="1" w:styleId="text-bold">
    <w:name w:val="text-bold"/>
    <w:basedOn w:val="text"/>
    <w:next w:val="text"/>
    <w:rsid w:val="0010147D"/>
    <w:pPr>
      <w:spacing w:before="60" w:line="260" w:lineRule="exact"/>
      <w:ind w:left="0"/>
    </w:pPr>
    <w:rPr>
      <w:rFonts w:cs="Times New Roman"/>
      <w:b/>
      <w:color w:val="000000"/>
      <w:sz w:val="18"/>
      <w:szCs w:val="20"/>
    </w:rPr>
  </w:style>
  <w:style w:type="paragraph" w:styleId="ListNumber">
    <w:name w:val="List Number"/>
    <w:basedOn w:val="Normal"/>
    <w:rsid w:val="0010147D"/>
    <w:pPr>
      <w:tabs>
        <w:tab w:val="num" w:pos="360"/>
      </w:tabs>
      <w:spacing w:line="260" w:lineRule="atLeast"/>
      <w:ind w:left="360" w:hanging="360"/>
    </w:pPr>
    <w:rPr>
      <w:rFonts w:ascii="Verdana" w:hAnsi="Verdana"/>
      <w:sz w:val="18"/>
      <w:szCs w:val="20"/>
    </w:rPr>
  </w:style>
  <w:style w:type="paragraph" w:customStyle="1" w:styleId="Pa8">
    <w:name w:val="Pa8"/>
    <w:basedOn w:val="Normal"/>
    <w:next w:val="Normal"/>
    <w:uiPriority w:val="99"/>
    <w:rsid w:val="00377CAC"/>
    <w:pPr>
      <w:autoSpaceDE w:val="0"/>
      <w:autoSpaceDN w:val="0"/>
      <w:adjustRightInd w:val="0"/>
      <w:spacing w:line="201" w:lineRule="atLeast"/>
    </w:pPr>
    <w:rPr>
      <w:rFonts w:ascii="Myriad Pro Light" w:eastAsia="Calibri" w:hAnsi="Myriad Pro Light"/>
    </w:rPr>
  </w:style>
  <w:style w:type="character" w:styleId="CommentReference">
    <w:name w:val="annotation reference"/>
    <w:uiPriority w:val="99"/>
    <w:rsid w:val="003E693A"/>
    <w:rPr>
      <w:sz w:val="16"/>
      <w:szCs w:val="16"/>
    </w:rPr>
  </w:style>
  <w:style w:type="paragraph" w:styleId="CommentText">
    <w:name w:val="annotation text"/>
    <w:basedOn w:val="Normal"/>
    <w:link w:val="CommentTextChar"/>
    <w:uiPriority w:val="99"/>
    <w:rsid w:val="003E693A"/>
    <w:rPr>
      <w:sz w:val="20"/>
      <w:szCs w:val="20"/>
      <w:lang w:val="x-none"/>
    </w:rPr>
  </w:style>
  <w:style w:type="character" w:customStyle="1" w:styleId="CommentTextChar">
    <w:name w:val="Comment Text Char"/>
    <w:link w:val="CommentText"/>
    <w:uiPriority w:val="99"/>
    <w:rsid w:val="003E693A"/>
    <w:rPr>
      <w:lang w:eastAsia="en-US"/>
    </w:rPr>
  </w:style>
  <w:style w:type="paragraph" w:styleId="CommentSubject">
    <w:name w:val="annotation subject"/>
    <w:basedOn w:val="CommentText"/>
    <w:next w:val="CommentText"/>
    <w:link w:val="CommentSubjectChar"/>
    <w:rsid w:val="003E693A"/>
    <w:rPr>
      <w:b/>
      <w:bCs/>
    </w:rPr>
  </w:style>
  <w:style w:type="character" w:customStyle="1" w:styleId="CommentSubjectChar">
    <w:name w:val="Comment Subject Char"/>
    <w:link w:val="CommentSubject"/>
    <w:rsid w:val="003E693A"/>
    <w:rPr>
      <w:b/>
      <w:bCs/>
      <w:lang w:eastAsia="en-US"/>
    </w:rPr>
  </w:style>
  <w:style w:type="paragraph" w:styleId="BalloonText">
    <w:name w:val="Balloon Text"/>
    <w:basedOn w:val="Normal"/>
    <w:link w:val="BalloonTextChar"/>
    <w:rsid w:val="003E693A"/>
    <w:rPr>
      <w:rFonts w:ascii="Tahoma" w:hAnsi="Tahoma"/>
      <w:sz w:val="16"/>
      <w:szCs w:val="16"/>
      <w:lang w:val="x-none"/>
    </w:rPr>
  </w:style>
  <w:style w:type="character" w:customStyle="1" w:styleId="BalloonTextChar">
    <w:name w:val="Balloon Text Char"/>
    <w:link w:val="BalloonText"/>
    <w:rsid w:val="003E693A"/>
    <w:rPr>
      <w:rFonts w:ascii="Tahoma" w:hAnsi="Tahoma" w:cs="Tahoma"/>
      <w:sz w:val="16"/>
      <w:szCs w:val="16"/>
      <w:lang w:eastAsia="en-US"/>
    </w:rPr>
  </w:style>
  <w:style w:type="paragraph" w:customStyle="1" w:styleId="Text0">
    <w:name w:val="Text"/>
    <w:basedOn w:val="Normal"/>
    <w:link w:val="TextChar"/>
    <w:rsid w:val="003F4E77"/>
    <w:pPr>
      <w:spacing w:before="40" w:after="40" w:line="200" w:lineRule="atLeast"/>
    </w:pPr>
    <w:rPr>
      <w:rFonts w:ascii="Trebuchet MS" w:eastAsia="Calibri" w:hAnsi="Trebuchet MS"/>
      <w:sz w:val="16"/>
      <w:szCs w:val="16"/>
      <w:lang w:val="x-none"/>
    </w:rPr>
  </w:style>
  <w:style w:type="character" w:customStyle="1" w:styleId="TextChar">
    <w:name w:val="Text Char"/>
    <w:link w:val="Text0"/>
    <w:locked/>
    <w:rsid w:val="003F4E77"/>
    <w:rPr>
      <w:rFonts w:ascii="Trebuchet MS" w:eastAsia="Calibri" w:hAnsi="Trebuchet MS" w:cs="Trebuchet MS"/>
      <w:sz w:val="16"/>
      <w:szCs w:val="16"/>
      <w:lang w:eastAsia="en-US"/>
    </w:rPr>
  </w:style>
  <w:style w:type="character" w:customStyle="1" w:styleId="FooterChar">
    <w:name w:val="Footer Char"/>
    <w:link w:val="Footer"/>
    <w:uiPriority w:val="99"/>
    <w:locked/>
    <w:rsid w:val="003F4E77"/>
    <w:rPr>
      <w:rFonts w:ascii="Verdana" w:hAnsi="Verdana"/>
      <w:sz w:val="14"/>
      <w:szCs w:val="24"/>
      <w:lang w:val="en-GB" w:eastAsia="en-US" w:bidi="ar-SA"/>
    </w:rPr>
  </w:style>
  <w:style w:type="paragraph" w:customStyle="1" w:styleId="BackCover">
    <w:name w:val="BackCover"/>
    <w:rsid w:val="00A675FC"/>
    <w:pPr>
      <w:spacing w:line="180" w:lineRule="exact"/>
    </w:pPr>
    <w:rPr>
      <w:rFonts w:ascii="Verdana" w:hAnsi="Verdana"/>
      <w:b/>
      <w:sz w:val="12"/>
      <w:lang w:eastAsia="en-US"/>
    </w:rPr>
  </w:style>
  <w:style w:type="paragraph" w:styleId="ListBullet">
    <w:name w:val="List Bullet"/>
    <w:basedOn w:val="Normal"/>
    <w:rsid w:val="00A675FC"/>
    <w:pPr>
      <w:tabs>
        <w:tab w:val="num" w:pos="360"/>
      </w:tabs>
      <w:spacing w:line="260" w:lineRule="atLeast"/>
      <w:ind w:left="360" w:hanging="360"/>
    </w:pPr>
    <w:rPr>
      <w:rFonts w:ascii="Verdana" w:hAnsi="Verdana"/>
      <w:sz w:val="18"/>
      <w:szCs w:val="20"/>
    </w:rPr>
  </w:style>
  <w:style w:type="character" w:customStyle="1" w:styleId="apple-converted-space">
    <w:name w:val="apple-converted-space"/>
    <w:basedOn w:val="DefaultParagraphFont"/>
    <w:rsid w:val="00390687"/>
  </w:style>
  <w:style w:type="paragraph" w:customStyle="1" w:styleId="Bodytext">
    <w:name w:val="Body text"/>
    <w:qFormat/>
    <w:rsid w:val="001A0E0D"/>
    <w:pPr>
      <w:spacing w:before="80" w:after="60" w:line="240" w:lineRule="atLeast"/>
    </w:pPr>
    <w:rPr>
      <w:rFonts w:ascii="Verdana" w:hAnsi="Verdana" w:cs="Arial"/>
      <w:szCs w:val="24"/>
      <w:lang w:eastAsia="en-US"/>
    </w:rPr>
  </w:style>
  <w:style w:type="paragraph" w:customStyle="1" w:styleId="Front1">
    <w:name w:val="Front1"/>
    <w:qFormat/>
    <w:rsid w:val="001A0E0D"/>
    <w:pPr>
      <w:spacing w:before="5280" w:after="120"/>
      <w:ind w:left="-284" w:right="-284"/>
    </w:pPr>
    <w:rPr>
      <w:rFonts w:ascii="Verdana Bold" w:hAnsi="Verdana Bold"/>
      <w:b/>
      <w:color w:val="002656"/>
      <w:sz w:val="36"/>
      <w:szCs w:val="48"/>
    </w:rPr>
  </w:style>
  <w:style w:type="paragraph" w:customStyle="1" w:styleId="Front0">
    <w:name w:val="Front0"/>
    <w:basedOn w:val="Normal"/>
    <w:qFormat/>
    <w:rsid w:val="001A0E0D"/>
    <w:pPr>
      <w:spacing w:after="120"/>
      <w:ind w:left="7201" w:right="-284"/>
    </w:pPr>
    <w:rPr>
      <w:rFonts w:ascii="Verdana" w:hAnsi="Verdana"/>
      <w:b/>
      <w:color w:val="002656"/>
      <w:sz w:val="76"/>
      <w:szCs w:val="76"/>
      <w:lang w:eastAsia="en-GB"/>
    </w:rPr>
  </w:style>
  <w:style w:type="paragraph" w:customStyle="1" w:styleId="Front2">
    <w:name w:val="Front2"/>
    <w:next w:val="Normal"/>
    <w:qFormat/>
    <w:rsid w:val="001A0E0D"/>
    <w:pPr>
      <w:pBdr>
        <w:top w:val="single" w:sz="4" w:space="5" w:color="102D51"/>
        <w:bottom w:val="single" w:sz="4" w:space="5" w:color="102D51"/>
      </w:pBdr>
      <w:spacing w:before="120" w:after="60" w:line="280" w:lineRule="exact"/>
      <w:ind w:left="-284" w:right="-284"/>
    </w:pPr>
    <w:rPr>
      <w:rFonts w:ascii="Verdana" w:hAnsi="Verdana"/>
      <w:b/>
      <w:color w:val="002656"/>
      <w:sz w:val="28"/>
      <w:szCs w:val="50"/>
    </w:rPr>
  </w:style>
  <w:style w:type="character" w:styleId="Hyperlink">
    <w:name w:val="Hyperlink"/>
    <w:rsid w:val="00C17CBB"/>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703185">
      <w:bodyDiv w:val="1"/>
      <w:marLeft w:val="0"/>
      <w:marRight w:val="0"/>
      <w:marTop w:val="0"/>
      <w:marBottom w:val="0"/>
      <w:divBdr>
        <w:top w:val="none" w:sz="0" w:space="0" w:color="auto"/>
        <w:left w:val="none" w:sz="0" w:space="0" w:color="auto"/>
        <w:bottom w:val="none" w:sz="0" w:space="0" w:color="auto"/>
        <w:right w:val="none" w:sz="0" w:space="0" w:color="auto"/>
      </w:divBdr>
    </w:div>
    <w:div w:id="1062678326">
      <w:bodyDiv w:val="1"/>
      <w:marLeft w:val="0"/>
      <w:marRight w:val="0"/>
      <w:marTop w:val="0"/>
      <w:marBottom w:val="0"/>
      <w:divBdr>
        <w:top w:val="none" w:sz="0" w:space="0" w:color="auto"/>
        <w:left w:val="none" w:sz="0" w:space="0" w:color="auto"/>
        <w:bottom w:val="none" w:sz="0" w:space="0" w:color="auto"/>
        <w:right w:val="none" w:sz="0" w:space="0" w:color="auto"/>
      </w:divBdr>
    </w:div>
    <w:div w:id="1166869550">
      <w:bodyDiv w:val="1"/>
      <w:marLeft w:val="0"/>
      <w:marRight w:val="0"/>
      <w:marTop w:val="0"/>
      <w:marBottom w:val="0"/>
      <w:divBdr>
        <w:top w:val="none" w:sz="0" w:space="0" w:color="auto"/>
        <w:left w:val="none" w:sz="0" w:space="0" w:color="auto"/>
        <w:bottom w:val="none" w:sz="0" w:space="0" w:color="auto"/>
        <w:right w:val="none" w:sz="0" w:space="0" w:color="auto"/>
      </w:divBdr>
    </w:div>
    <w:div w:id="1543201894">
      <w:bodyDiv w:val="1"/>
      <w:marLeft w:val="0"/>
      <w:marRight w:val="0"/>
      <w:marTop w:val="0"/>
      <w:marBottom w:val="0"/>
      <w:divBdr>
        <w:top w:val="none" w:sz="0" w:space="0" w:color="auto"/>
        <w:left w:val="none" w:sz="0" w:space="0" w:color="auto"/>
        <w:bottom w:val="none" w:sz="0" w:space="0" w:color="auto"/>
        <w:right w:val="none" w:sz="0" w:space="0" w:color="auto"/>
      </w:divBdr>
    </w:div>
    <w:div w:id="1800680831">
      <w:bodyDiv w:val="1"/>
      <w:marLeft w:val="0"/>
      <w:marRight w:val="0"/>
      <w:marTop w:val="0"/>
      <w:marBottom w:val="0"/>
      <w:divBdr>
        <w:top w:val="none" w:sz="0" w:space="0" w:color="auto"/>
        <w:left w:val="none" w:sz="0" w:space="0" w:color="auto"/>
        <w:bottom w:val="none" w:sz="0" w:space="0" w:color="auto"/>
        <w:right w:val="none" w:sz="0" w:space="0" w:color="auto"/>
      </w:divBdr>
    </w:div>
    <w:div w:id="2055352509">
      <w:bodyDiv w:val="1"/>
      <w:marLeft w:val="0"/>
      <w:marRight w:val="0"/>
      <w:marTop w:val="0"/>
      <w:marBottom w:val="0"/>
      <w:divBdr>
        <w:top w:val="none" w:sz="0" w:space="0" w:color="auto"/>
        <w:left w:val="none" w:sz="0" w:space="0" w:color="auto"/>
        <w:bottom w:val="none" w:sz="0" w:space="0" w:color="auto"/>
        <w:right w:val="none" w:sz="0" w:space="0" w:color="auto"/>
      </w:divBdr>
    </w:div>
    <w:div w:id="21261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qualifications.pearson.com/content/dam/pdf/GCSE/History/2016/Teaching-and-learning-materials/gcse-history-changes-for-2025-and-2026-summary-guidance.pdf"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7</Pages>
  <Words>1600</Words>
  <Characters>9123</Characters>
  <Application>Microsoft Office Word</Application>
  <DocSecurity>0</DocSecurity>
  <Lines>76</Lines>
  <Paragraphs>21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GCSE Getting Started</vt:lpstr>
      <vt:lpstr>GCSE Getting Started</vt:lpstr>
    </vt:vector>
  </TitlesOfParts>
  <Company>Pearson Education</Company>
  <LinksUpToDate>false</LinksUpToDate>
  <CharactersWithSpaces>10702</CharactersWithSpaces>
  <SharedDoc>false</SharedDoc>
  <HLinks>
    <vt:vector size="6" baseType="variant">
      <vt:variant>
        <vt:i4>1376340</vt:i4>
      </vt:variant>
      <vt:variant>
        <vt:i4>0</vt:i4>
      </vt:variant>
      <vt:variant>
        <vt:i4>0</vt:i4>
      </vt:variant>
      <vt:variant>
        <vt:i4>5</vt:i4>
      </vt:variant>
      <vt:variant>
        <vt:lpwstr>https://qualifications.pearson.com/content/dam/pdf/GCSE/History/2016/Teaching-and-learning-materials/gcse-history-changes-for-2025-and-2026-summary-guidance.pdf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GCSE Getting Started</dc:title>
  <dc:subject/>
  <dc:creator>regan_c</dc:creator>
  <cp:keywords/>
  <cp:lastModifiedBy>Mark Anstee</cp:lastModifiedBy>
  <cp:revision>2</cp:revision>
  <cp:lastPrinted>2014-03-24T13:35:00Z</cp:lastPrinted>
  <dcterms:created xsi:type="dcterms:W3CDTF">2024-12-17T16:41:00Z</dcterms:created>
  <dcterms:modified xsi:type="dcterms:W3CDTF">2024-12-17T16:41:00Z</dcterms:modified>
</cp:coreProperties>
</file>