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624A90DE" w14:textId="17576AEE" w:rsidR="00903FC6" w:rsidRPr="00903FC6" w:rsidRDefault="00504751" w:rsidP="2A8B679D">
      <w:pPr>
        <w:pStyle w:val="Heading1"/>
      </w:pPr>
      <w:bookmarkStart w:id="0" w:name="_Toc435777747"/>
      <w:r w:rsidRPr="008474AB">
        <w:t xml:space="preserve">GCSE </w:t>
      </w:r>
      <w:r w:rsidR="008474AB" w:rsidRPr="008474AB">
        <w:t>Geography A (1GA0)</w:t>
      </w:r>
      <w:r w:rsidR="009571F5" w:rsidRPr="008474AB">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3FA761F9" w:rsidR="00507FCC" w:rsidRPr="00507FCC" w:rsidRDefault="008474AB" w:rsidP="00903FC6">
      <w:pPr>
        <w:pStyle w:val="ListBullet"/>
      </w:pPr>
      <w:hyperlink r:id="rId12" w:anchor="filterQuery=category:Pearson-UK:Category%2FExam-materials&amp;filterQuery=category:Pearson-UK:Document-Type%2FQuestion-paper" w:history="1">
        <w:r w:rsidR="00507FCC" w:rsidRPr="008474AB">
          <w:rPr>
            <w:rStyle w:val="Hyperlink"/>
            <w:color w:val="0070C0"/>
          </w:rPr>
          <w:t>Past papers</w:t>
        </w:r>
      </w:hyperlink>
      <w:r w:rsidR="00507FCC" w:rsidRPr="008474AB">
        <w:rPr>
          <w:color w:val="0070C0"/>
        </w:rPr>
        <w:t xml:space="preserve">, </w:t>
      </w:r>
      <w:hyperlink r:id="rId13" w:anchor="filterQuery=category:Pearson-UK:Category%2FExam-materials&amp;filterQuery=category:Pearson-UK:Document-Type%2FMark-scheme" w:history="1">
        <w:r w:rsidR="00507FCC" w:rsidRPr="008474AB">
          <w:rPr>
            <w:rStyle w:val="Hyperlink"/>
            <w:color w:val="0070C0"/>
          </w:rPr>
          <w:t>mark schemes</w:t>
        </w:r>
      </w:hyperlink>
      <w:r w:rsidR="00507FCC" w:rsidRPr="008474AB">
        <w:rPr>
          <w:color w:val="0070C0"/>
        </w:rPr>
        <w:t xml:space="preserve"> </w:t>
      </w:r>
      <w:r w:rsidR="00507FCC">
        <w:t xml:space="preserve">and </w:t>
      </w:r>
      <w:hyperlink r:id="rId14" w:history="1">
        <w:r w:rsidR="00507FCC" w:rsidRPr="008474AB">
          <w:rPr>
            <w:rStyle w:val="Hyperlink"/>
            <w:color w:val="0070C0"/>
          </w:rPr>
          <w:t>indicative grade boundaries</w:t>
        </w:r>
      </w:hyperlink>
      <w:r w:rsidR="00507FCC" w:rsidRPr="008474AB">
        <w:rPr>
          <w:color w:val="0070C0"/>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62065C3E"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504751" w:rsidRPr="008474AB">
        <w:rPr>
          <w:color w:val="000000" w:themeColor="text1"/>
          <w:lang w:val="en-GB" w:eastAsia="en-GB"/>
        </w:rPr>
        <w:t xml:space="preserve">GCSE </w:t>
      </w:r>
      <w:r w:rsidR="008474AB" w:rsidRPr="008474AB">
        <w:rPr>
          <w:color w:val="000000" w:themeColor="text1"/>
          <w:lang w:val="en-GB" w:eastAsia="en-GB"/>
        </w:rPr>
        <w:t>Geography A</w:t>
      </w:r>
      <w:r w:rsidRPr="008474AB">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3067A91B" w14:textId="77777777" w:rsidR="00504751" w:rsidRDefault="00504751">
      <w:pPr>
        <w:rPr>
          <w:rFonts w:ascii="Open Sans" w:eastAsiaTheme="majorEastAsia" w:hAnsi="Open Sans" w:cstheme="majorBidi"/>
          <w:b/>
          <w:bCs/>
          <w:color w:val="FF0000"/>
          <w:sz w:val="28"/>
        </w:rPr>
      </w:pPr>
      <w:r>
        <w:rPr>
          <w:color w:val="FF0000"/>
        </w:rPr>
        <w:br w:type="page"/>
      </w:r>
    </w:p>
    <w:p w14:paraId="6CE325D2" w14:textId="7EBC84BB" w:rsidR="00DE4531" w:rsidRDefault="008474AB" w:rsidP="2A8B679D">
      <w:pPr>
        <w:pStyle w:val="Heading3"/>
      </w:pPr>
      <w:r>
        <w:rPr>
          <w:lang w:val="en-GB" w:eastAsia="en-GB"/>
        </w:rPr>
        <w:lastRenderedPageBreak/>
        <w:t xml:space="preserve">GCSE Geography A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14:paraId="200ADA88" w14:textId="77777777" w:rsidTr="2A8B679D">
        <w:tc>
          <w:tcPr>
            <w:tcW w:w="2048" w:type="dxa"/>
          </w:tcPr>
          <w:p w14:paraId="39AB50CD" w14:textId="77777777" w:rsidR="002562CC" w:rsidRPr="008474AB" w:rsidRDefault="00DE4531" w:rsidP="002562CC">
            <w:pPr>
              <w:pStyle w:val="ListBullet"/>
              <w:numPr>
                <w:ilvl w:val="0"/>
                <w:numId w:val="0"/>
              </w:numPr>
              <w:rPr>
                <w:b/>
                <w:bCs/>
                <w:lang w:val="en-GB" w:eastAsia="en-GB"/>
              </w:rPr>
            </w:pPr>
            <w:bookmarkStart w:id="2" w:name="_Hlk38797612"/>
            <w:r w:rsidRPr="008474AB">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8474AB">
              <w:rPr>
                <w:b/>
                <w:bCs/>
                <w:lang w:val="en-GB" w:eastAsia="en-GB"/>
              </w:rPr>
              <w:t>Most secure</w:t>
            </w:r>
            <w:r w:rsidR="00DE4531" w:rsidRPr="008474AB">
              <w:rPr>
                <w:b/>
                <w:bCs/>
                <w:lang w:val="en-GB" w:eastAsia="en-GB"/>
              </w:rPr>
              <w:t xml:space="preserve"> students</w:t>
            </w:r>
          </w:p>
        </w:tc>
        <w:tc>
          <w:tcPr>
            <w:tcW w:w="7897" w:type="dxa"/>
          </w:tcPr>
          <w:p w14:paraId="0AD69009" w14:textId="77777777" w:rsidR="008474AB" w:rsidRPr="008474AB" w:rsidRDefault="008474AB" w:rsidP="008474AB">
            <w:pPr>
              <w:pStyle w:val="ListBullet"/>
              <w:numPr>
                <w:ilvl w:val="0"/>
                <w:numId w:val="42"/>
              </w:numPr>
              <w:rPr>
                <w:color w:val="000000" w:themeColor="text1"/>
              </w:rPr>
            </w:pPr>
            <w:r w:rsidRPr="008474AB">
              <w:rPr>
                <w:color w:val="000000" w:themeColor="text1"/>
              </w:rPr>
              <w:t xml:space="preserve">Most secure students are able to demonstrate a detailed knowledge and strong understanding of geographical concepts, processes and terminology e.g. ‘mass movement’ (June 2019 1GA01, q2a). </w:t>
            </w:r>
          </w:p>
          <w:p w14:paraId="6460631D" w14:textId="77777777" w:rsidR="008474AB" w:rsidRPr="008474AB" w:rsidRDefault="008474AB" w:rsidP="008474AB">
            <w:pPr>
              <w:pStyle w:val="ListBullet"/>
              <w:numPr>
                <w:ilvl w:val="0"/>
                <w:numId w:val="42"/>
              </w:numPr>
              <w:rPr>
                <w:color w:val="000000" w:themeColor="text1"/>
              </w:rPr>
            </w:pPr>
            <w:r w:rsidRPr="008474AB">
              <w:rPr>
                <w:color w:val="000000" w:themeColor="text1"/>
              </w:rPr>
              <w:t>Describes in detail patterns / distributions and features shown by the resource(s), with careful use of keys and supporting data with accuracy e.g. comparing the trends shown on a line graph (June 1GA02, q3bi).</w:t>
            </w:r>
          </w:p>
          <w:p w14:paraId="60C73210" w14:textId="77777777" w:rsidR="008474AB" w:rsidRPr="008474AB" w:rsidRDefault="008474AB" w:rsidP="008474AB">
            <w:pPr>
              <w:pStyle w:val="ListBullet"/>
              <w:numPr>
                <w:ilvl w:val="0"/>
                <w:numId w:val="42"/>
              </w:numPr>
              <w:rPr>
                <w:color w:val="000000" w:themeColor="text1"/>
              </w:rPr>
            </w:pPr>
            <w:r w:rsidRPr="008474AB">
              <w:rPr>
                <w:color w:val="000000" w:themeColor="text1"/>
              </w:rPr>
              <w:t>Most secure students consistently demonstrate accurate use of a broad range of mathematical and statistical skills e.g. the calculation of percentage increase (June 2019 1GA02, q1fii).</w:t>
            </w:r>
          </w:p>
          <w:p w14:paraId="54D88A8B" w14:textId="25480712" w:rsidR="008474AB" w:rsidRPr="008474AB" w:rsidRDefault="008474AB" w:rsidP="008474AB">
            <w:pPr>
              <w:pStyle w:val="ListBullet"/>
              <w:numPr>
                <w:ilvl w:val="0"/>
                <w:numId w:val="42"/>
              </w:numPr>
              <w:rPr>
                <w:color w:val="000000" w:themeColor="text1"/>
              </w:rPr>
            </w:pPr>
            <w:r w:rsidRPr="008474AB">
              <w:rPr>
                <w:color w:val="000000" w:themeColor="text1"/>
              </w:rPr>
              <w:t>Develops explanations to show an accurate understanding of relevant geographical processes and concepts; responses are very clearly written, with a direct link between question and answer e.g. why more heat energy is received at the Equator than at the poles (June 2019 1GA01, q5).</w:t>
            </w:r>
          </w:p>
          <w:p w14:paraId="1247E492" w14:textId="77777777" w:rsidR="008474AB" w:rsidRPr="008474AB" w:rsidRDefault="008474AB" w:rsidP="008474AB">
            <w:pPr>
              <w:pStyle w:val="ListBullet"/>
              <w:numPr>
                <w:ilvl w:val="0"/>
                <w:numId w:val="42"/>
              </w:numPr>
              <w:rPr>
                <w:color w:val="000000" w:themeColor="text1"/>
              </w:rPr>
            </w:pPr>
            <w:r w:rsidRPr="008474AB">
              <w:rPr>
                <w:color w:val="000000" w:themeColor="text1"/>
              </w:rPr>
              <w:t xml:space="preserve">Students meet the requirements of ‘assess’ questions by considering a range of factors and identifies which is the most important e.g. the causes of drought (June 2019 1GA01 q6e) or the effects of rapid </w:t>
            </w:r>
            <w:proofErr w:type="spellStart"/>
            <w:r w:rsidRPr="008474AB">
              <w:rPr>
                <w:color w:val="000000" w:themeColor="text1"/>
              </w:rPr>
              <w:t>urbanisation</w:t>
            </w:r>
            <w:proofErr w:type="spellEnd"/>
            <w:r w:rsidRPr="008474AB">
              <w:rPr>
                <w:color w:val="000000" w:themeColor="text1"/>
              </w:rPr>
              <w:t xml:space="preserve"> on a city (June 2019 1GA02 q1g).</w:t>
            </w:r>
          </w:p>
          <w:p w14:paraId="6B1861FE" w14:textId="77777777" w:rsidR="008474AB" w:rsidRPr="008474AB" w:rsidRDefault="008474AB" w:rsidP="008474AB">
            <w:pPr>
              <w:pStyle w:val="ListBullet"/>
              <w:numPr>
                <w:ilvl w:val="0"/>
                <w:numId w:val="42"/>
              </w:numPr>
              <w:rPr>
                <w:color w:val="000000" w:themeColor="text1"/>
              </w:rPr>
            </w:pPr>
            <w:r w:rsidRPr="008474AB">
              <w:rPr>
                <w:color w:val="000000" w:themeColor="text1"/>
              </w:rPr>
              <w:t>For the ‘evaluate’ and/or ‘discuss’ questions, there is evidence of balanced and well-developed arguments that recognise the complexity of an issue and considers a range of factors linked to both sides of the argument. The most secure students are likely to come to a conclusion, making a judgement that is supported by evidence e.g. how a government has attempted to improve quality of life (June 2019 1GA02, q2g) or extent to which a two-speed economy exists in the UK (June 2019 1GA03, q5f).</w:t>
            </w:r>
          </w:p>
          <w:p w14:paraId="21744CE1" w14:textId="77777777" w:rsidR="008474AB" w:rsidRPr="008474AB" w:rsidRDefault="008474AB" w:rsidP="008474AB">
            <w:pPr>
              <w:pStyle w:val="ListBullet"/>
              <w:numPr>
                <w:ilvl w:val="0"/>
                <w:numId w:val="42"/>
              </w:numPr>
              <w:rPr>
                <w:color w:val="000000" w:themeColor="text1"/>
              </w:rPr>
            </w:pPr>
            <w:r w:rsidRPr="008474AB">
              <w:rPr>
                <w:color w:val="000000" w:themeColor="text1"/>
              </w:rPr>
              <w:t xml:space="preserve">In response to the ‘examine’ questions on 1GA01, there is broad evidence of both AO3 and AO4 being met; the most secure student engages with the information from the resource(s) and has selected appropriate material to use in support of their explanations. </w:t>
            </w:r>
          </w:p>
          <w:p w14:paraId="05B6141B" w14:textId="77777777" w:rsidR="008474AB" w:rsidRPr="008474AB" w:rsidRDefault="008474AB" w:rsidP="008474AB">
            <w:pPr>
              <w:pStyle w:val="ListBullet"/>
              <w:numPr>
                <w:ilvl w:val="0"/>
                <w:numId w:val="42"/>
              </w:numPr>
              <w:rPr>
                <w:color w:val="000000" w:themeColor="text1"/>
              </w:rPr>
            </w:pPr>
            <w:r w:rsidRPr="008474AB">
              <w:rPr>
                <w:color w:val="000000" w:themeColor="text1"/>
              </w:rPr>
              <w:t>Effective use of located examples and/or case studies to support descriptions or explanations on short-open response questions, or to act as evidence used to formulate a conclusion or judgement on extended writing questions; the most secure students will draw upon a range of evidence already shared to support this.</w:t>
            </w:r>
          </w:p>
          <w:p w14:paraId="7D11698A" w14:textId="352E0469" w:rsidR="009006B9" w:rsidRDefault="008474AB" w:rsidP="008474AB">
            <w:pPr>
              <w:pStyle w:val="ListBullet"/>
              <w:numPr>
                <w:ilvl w:val="0"/>
                <w:numId w:val="42"/>
              </w:numPr>
            </w:pPr>
            <w:r w:rsidRPr="008474AB">
              <w:rPr>
                <w:color w:val="000000" w:themeColor="text1"/>
              </w:rPr>
              <w:t xml:space="preserve">Uses a range of geographical skills to support all aspects of the enquiry process and is able to consistently communicate enquiry-specific fieldwork findings in a reasoned and coherent manner e.g. when </w:t>
            </w:r>
            <w:r w:rsidRPr="008474AB">
              <w:rPr>
                <w:color w:val="000000" w:themeColor="text1"/>
              </w:rPr>
              <w:lastRenderedPageBreak/>
              <w:t>explaining which conclusions (from the ‘familiar’ investigation) answer the student’s enquiry questions (June 2019 1GA03, q3e/4e).</w:t>
            </w:r>
          </w:p>
        </w:tc>
      </w:tr>
      <w:tr w:rsidR="008474AB" w14:paraId="4E4509A3" w14:textId="77777777" w:rsidTr="2A8B679D">
        <w:tc>
          <w:tcPr>
            <w:tcW w:w="2048" w:type="dxa"/>
          </w:tcPr>
          <w:p w14:paraId="05DE5BBB" w14:textId="77777777" w:rsidR="008474AB" w:rsidRPr="008474AB" w:rsidRDefault="008474AB" w:rsidP="008474AB">
            <w:pPr>
              <w:pStyle w:val="ListBullet"/>
              <w:numPr>
                <w:ilvl w:val="0"/>
                <w:numId w:val="0"/>
              </w:numPr>
              <w:rPr>
                <w:b/>
                <w:bCs/>
                <w:lang w:val="en-GB" w:eastAsia="en-GB"/>
              </w:rPr>
            </w:pPr>
            <w:r w:rsidRPr="008474AB">
              <w:rPr>
                <w:b/>
                <w:bCs/>
                <w:lang w:val="en-GB" w:eastAsia="en-GB"/>
              </w:rPr>
              <w:lastRenderedPageBreak/>
              <w:t xml:space="preserve">Grade 7 </w:t>
            </w:r>
          </w:p>
          <w:p w14:paraId="5B6E4F93" w14:textId="52052351" w:rsidR="008474AB" w:rsidRPr="00DE4531" w:rsidRDefault="008474AB" w:rsidP="008474AB">
            <w:pPr>
              <w:pStyle w:val="ListBullet"/>
              <w:numPr>
                <w:ilvl w:val="0"/>
                <w:numId w:val="0"/>
              </w:numPr>
              <w:rPr>
                <w:lang w:val="en-GB" w:eastAsia="en-GB"/>
              </w:rPr>
            </w:pPr>
            <w:r w:rsidRPr="008474AB">
              <w:rPr>
                <w:b/>
                <w:bCs/>
                <w:lang w:val="en-GB" w:eastAsia="en-GB"/>
              </w:rPr>
              <w:t>Secure students</w:t>
            </w:r>
          </w:p>
        </w:tc>
        <w:tc>
          <w:tcPr>
            <w:tcW w:w="7897" w:type="dxa"/>
          </w:tcPr>
          <w:p w14:paraId="2728E7B3" w14:textId="77777777" w:rsidR="008474AB" w:rsidRPr="008474AB" w:rsidRDefault="008474AB" w:rsidP="008474AB">
            <w:pPr>
              <w:pStyle w:val="ListBullet"/>
              <w:rPr>
                <w:color w:val="000000" w:themeColor="text1"/>
              </w:rPr>
            </w:pPr>
            <w:r w:rsidRPr="008474AB">
              <w:rPr>
                <w:color w:val="000000" w:themeColor="text1"/>
              </w:rPr>
              <w:t xml:space="preserve">Secure students at this grade are able to demonstrate some mostly relevant knowledge and understanding of geographical concepts, processes and terminology e.g. ‘situation’ of a city (June 2019 1GA02, q1c) </w:t>
            </w:r>
          </w:p>
          <w:p w14:paraId="674D728D" w14:textId="77777777" w:rsidR="008474AB" w:rsidRPr="008474AB" w:rsidRDefault="008474AB" w:rsidP="008474AB">
            <w:pPr>
              <w:pStyle w:val="ListBullet"/>
              <w:rPr>
                <w:color w:val="000000" w:themeColor="text1"/>
              </w:rPr>
            </w:pPr>
            <w:r w:rsidRPr="008474AB">
              <w:rPr>
                <w:color w:val="000000" w:themeColor="text1"/>
              </w:rPr>
              <w:t>Describes the overall patterns / distributions and features shown by the resource(s), use of keys and supporting data with some accuracy e.g. the six-figure grid reference of a feature on an OS map (June, 2019 1GA01, 1dii).</w:t>
            </w:r>
          </w:p>
          <w:p w14:paraId="213071BA" w14:textId="77777777" w:rsidR="008474AB" w:rsidRPr="008474AB" w:rsidRDefault="008474AB" w:rsidP="008474AB">
            <w:pPr>
              <w:pStyle w:val="ListBullet"/>
              <w:rPr>
                <w:color w:val="000000" w:themeColor="text1"/>
              </w:rPr>
            </w:pPr>
            <w:r w:rsidRPr="008474AB">
              <w:rPr>
                <w:color w:val="000000" w:themeColor="text1"/>
              </w:rPr>
              <w:t>Secure students usually demonstrate an accurate use of a broad range of mathematical and statistical skills e.g. use of ratios to calculate the diameter of a tropical cyclone (June 2019 1GA01, q6cii).</w:t>
            </w:r>
          </w:p>
          <w:p w14:paraId="5A87B2A1" w14:textId="77777777" w:rsidR="008474AB" w:rsidRPr="008474AB" w:rsidRDefault="008474AB" w:rsidP="008474AB">
            <w:pPr>
              <w:pStyle w:val="ListBullet"/>
              <w:rPr>
                <w:color w:val="000000" w:themeColor="text1"/>
              </w:rPr>
            </w:pPr>
            <w:r w:rsidRPr="008474AB">
              <w:rPr>
                <w:color w:val="000000" w:themeColor="text1"/>
              </w:rPr>
              <w:tab/>
              <w:t>Develops explanations to show an accurate understanding of relevant geographical processes and concepts; responses are usually clearly written, with some, but not sustained, link between question and answer,  e.g. possible reasons for the rapid growth in Abidjan’s population (June 2019 1GA02, q1fiii).</w:t>
            </w:r>
          </w:p>
          <w:p w14:paraId="22DC9DF6" w14:textId="77777777" w:rsidR="008474AB" w:rsidRPr="008474AB" w:rsidRDefault="008474AB" w:rsidP="008474AB">
            <w:pPr>
              <w:pStyle w:val="ListBullet"/>
              <w:rPr>
                <w:color w:val="000000" w:themeColor="text1"/>
              </w:rPr>
            </w:pPr>
            <w:r w:rsidRPr="008474AB">
              <w:rPr>
                <w:color w:val="000000" w:themeColor="text1"/>
              </w:rPr>
              <w:t xml:space="preserve">Students usually meet the requirements of ‘assess’ questions by considering several factors and identifies which is the most important e.g. the causes of drought (June 2019 1GA01 q6e) or the effects of rapid </w:t>
            </w:r>
            <w:proofErr w:type="spellStart"/>
            <w:r w:rsidRPr="008474AB">
              <w:rPr>
                <w:color w:val="000000" w:themeColor="text1"/>
              </w:rPr>
              <w:t>urbanisation</w:t>
            </w:r>
            <w:proofErr w:type="spellEnd"/>
            <w:r w:rsidRPr="008474AB">
              <w:rPr>
                <w:color w:val="000000" w:themeColor="text1"/>
              </w:rPr>
              <w:t xml:space="preserve"> on a city (June 2019 1GA02 q1g).</w:t>
            </w:r>
          </w:p>
          <w:p w14:paraId="04A4A72F" w14:textId="77777777" w:rsidR="008474AB" w:rsidRPr="008474AB" w:rsidRDefault="008474AB" w:rsidP="008474AB">
            <w:pPr>
              <w:pStyle w:val="ListBullet"/>
              <w:rPr>
                <w:color w:val="000000" w:themeColor="text1"/>
              </w:rPr>
            </w:pPr>
            <w:r w:rsidRPr="008474AB">
              <w:rPr>
                <w:color w:val="000000" w:themeColor="text1"/>
              </w:rPr>
              <w:t>For the ‘evaluate’ and/or ‘discuss’ questions, there is evidence of balanced and well-developed arguments that recognise the complexity of an issue and considers several factors, usually linked to both sides of the argument. The secure students are likely to come to a conclusion, making a judgement that is partially supported by evidence e.g. how a government has attempted to improve quality of life (June 2019 1GA02, q2g) or extent to which a two-speed economy exists in the UK (June 2019 1GA03, q5f).</w:t>
            </w:r>
          </w:p>
          <w:p w14:paraId="3BAE6E1F" w14:textId="77777777" w:rsidR="008474AB" w:rsidRPr="008474AB" w:rsidRDefault="008474AB" w:rsidP="008474AB">
            <w:pPr>
              <w:pStyle w:val="ListBullet"/>
              <w:rPr>
                <w:color w:val="000000" w:themeColor="text1"/>
              </w:rPr>
            </w:pPr>
            <w:r w:rsidRPr="008474AB">
              <w:rPr>
                <w:color w:val="000000" w:themeColor="text1"/>
              </w:rPr>
              <w:t xml:space="preserve">In response to the ‘examine’ questions on 1GA01, there is some evidence of both AO3 and AO4 being met; the secure student usually engages with the information from the resource(s) and has selected some appropriate material to use in support of their explanations. </w:t>
            </w:r>
          </w:p>
          <w:p w14:paraId="39EA4273" w14:textId="77777777" w:rsidR="008474AB" w:rsidRDefault="008474AB" w:rsidP="008474AB">
            <w:pPr>
              <w:pStyle w:val="ListBullet"/>
              <w:rPr>
                <w:color w:val="000000" w:themeColor="text1"/>
              </w:rPr>
            </w:pPr>
            <w:r w:rsidRPr="008474AB">
              <w:rPr>
                <w:color w:val="000000" w:themeColor="text1"/>
              </w:rPr>
              <w:t>Effective use of located examples and/or case studies to support descriptions or explanations on short-open response questions, or to act as evidence used to formulate a conclusion or judgement on extended writing questions. Secure students are likely to include a judgement partially based upon evidence already shared in the response.</w:t>
            </w:r>
          </w:p>
          <w:p w14:paraId="31EF8EC6" w14:textId="60AF234E" w:rsidR="008474AB" w:rsidRPr="008474AB" w:rsidRDefault="008474AB" w:rsidP="008474AB">
            <w:pPr>
              <w:pStyle w:val="ListBullet"/>
              <w:rPr>
                <w:color w:val="000000" w:themeColor="text1"/>
              </w:rPr>
            </w:pPr>
            <w:r w:rsidRPr="008474AB">
              <w:rPr>
                <w:color w:val="000000" w:themeColor="text1"/>
              </w:rPr>
              <w:t xml:space="preserve">Uses a range of geographical skills to support several aspects of the enquiry process and is able to frequently communicate enquiry-specific fieldwork findings in a coherent manner e.g. when explaining why the </w:t>
            </w:r>
            <w:r w:rsidRPr="008474AB">
              <w:rPr>
                <w:color w:val="000000" w:themeColor="text1"/>
              </w:rPr>
              <w:lastRenderedPageBreak/>
              <w:t>development of a hypothesis actually helped the investigation (June 2019 1GA03, q1aiv/2aiv).</w:t>
            </w:r>
          </w:p>
        </w:tc>
      </w:tr>
      <w:tr w:rsidR="008474AB" w14:paraId="68049CDA" w14:textId="77777777" w:rsidTr="2A8B679D">
        <w:tc>
          <w:tcPr>
            <w:tcW w:w="2048" w:type="dxa"/>
          </w:tcPr>
          <w:p w14:paraId="17A3F40B" w14:textId="77777777" w:rsidR="008474AB" w:rsidRPr="008474AB" w:rsidRDefault="008474AB" w:rsidP="008474AB">
            <w:pPr>
              <w:pStyle w:val="ListBullet"/>
              <w:numPr>
                <w:ilvl w:val="0"/>
                <w:numId w:val="0"/>
              </w:numPr>
              <w:rPr>
                <w:b/>
                <w:bCs/>
                <w:lang w:val="en-GB" w:eastAsia="en-GB"/>
              </w:rPr>
            </w:pPr>
            <w:r w:rsidRPr="008474AB">
              <w:rPr>
                <w:b/>
                <w:bCs/>
                <w:lang w:val="en-GB" w:eastAsia="en-GB"/>
              </w:rPr>
              <w:lastRenderedPageBreak/>
              <w:t>Grade 7</w:t>
            </w:r>
          </w:p>
          <w:p w14:paraId="06D3FD14" w14:textId="07D6003F" w:rsidR="008474AB" w:rsidRPr="008474AB" w:rsidRDefault="008474AB" w:rsidP="008474AB">
            <w:pPr>
              <w:pStyle w:val="ListBullet"/>
              <w:numPr>
                <w:ilvl w:val="0"/>
                <w:numId w:val="0"/>
              </w:numPr>
              <w:rPr>
                <w:b/>
                <w:bCs/>
                <w:lang w:val="en-GB" w:eastAsia="en-GB"/>
              </w:rPr>
            </w:pPr>
            <w:r w:rsidRPr="008474AB">
              <w:rPr>
                <w:b/>
                <w:bCs/>
                <w:lang w:val="en-GB" w:eastAsia="en-GB"/>
              </w:rPr>
              <w:t>Borderline students</w:t>
            </w:r>
          </w:p>
        </w:tc>
        <w:tc>
          <w:tcPr>
            <w:tcW w:w="7897" w:type="dxa"/>
          </w:tcPr>
          <w:p w14:paraId="0388E195" w14:textId="3EA50487" w:rsidR="008474AB" w:rsidRPr="008474AB" w:rsidRDefault="008474AB" w:rsidP="008474AB">
            <w:pPr>
              <w:pStyle w:val="ListBullet"/>
              <w:rPr>
                <w:color w:val="000000" w:themeColor="text1"/>
              </w:rPr>
            </w:pPr>
            <w:r w:rsidRPr="008474AB">
              <w:rPr>
                <w:color w:val="000000" w:themeColor="text1"/>
              </w:rPr>
              <w:t>Borderline students are able to demonstrate some relevant knowledge and understanding of geographical concepts, processes and terminology e.g. ‘sustainable’ (June 2019 1GA02, q1e)</w:t>
            </w:r>
            <w:r>
              <w:rPr>
                <w:color w:val="000000" w:themeColor="text1"/>
              </w:rPr>
              <w:t>.</w:t>
            </w:r>
          </w:p>
          <w:p w14:paraId="3542C248" w14:textId="77777777" w:rsidR="008474AB" w:rsidRPr="008474AB" w:rsidRDefault="008474AB" w:rsidP="008474AB">
            <w:pPr>
              <w:pStyle w:val="ListBullet"/>
              <w:rPr>
                <w:color w:val="000000" w:themeColor="text1"/>
              </w:rPr>
            </w:pPr>
            <w:r w:rsidRPr="008474AB">
              <w:rPr>
                <w:color w:val="000000" w:themeColor="text1"/>
              </w:rPr>
              <w:t>Describes the main patterns / distributions and features shown by the resource(s), using the key and occasionally some supporting data where appropriate.</w:t>
            </w:r>
          </w:p>
          <w:p w14:paraId="5D2423FD" w14:textId="77777777" w:rsidR="008474AB" w:rsidRPr="008474AB" w:rsidRDefault="008474AB" w:rsidP="008474AB">
            <w:pPr>
              <w:pStyle w:val="ListBullet"/>
              <w:rPr>
                <w:color w:val="000000" w:themeColor="text1"/>
              </w:rPr>
            </w:pPr>
            <w:r w:rsidRPr="008474AB">
              <w:rPr>
                <w:color w:val="000000" w:themeColor="text1"/>
              </w:rPr>
              <w:t>Borderline students occasionally demonstrate an accurate use of several mathematical and statistical skills e.g. the calculation of the ‘median’ value (June 2019 1GA02, q1f).</w:t>
            </w:r>
          </w:p>
          <w:p w14:paraId="4E8586F6" w14:textId="77777777" w:rsidR="008474AB" w:rsidRPr="008474AB" w:rsidRDefault="008474AB" w:rsidP="008474AB">
            <w:pPr>
              <w:pStyle w:val="ListBullet"/>
              <w:rPr>
                <w:color w:val="000000" w:themeColor="text1"/>
              </w:rPr>
            </w:pPr>
            <w:r w:rsidRPr="008474AB">
              <w:rPr>
                <w:color w:val="000000" w:themeColor="text1"/>
              </w:rPr>
              <w:tab/>
              <w:t>Develops explanations to show an accurate understanding of relevant geographical processes and concepts; responses are usually clearly written, with some link between question and answer e.g. a negative impact of the development of UK National Parks (June 2019 1GA03, 5d).</w:t>
            </w:r>
          </w:p>
          <w:p w14:paraId="73977457" w14:textId="77777777" w:rsidR="008474AB" w:rsidRPr="008474AB" w:rsidRDefault="008474AB" w:rsidP="008474AB">
            <w:pPr>
              <w:pStyle w:val="ListBullet"/>
              <w:rPr>
                <w:color w:val="000000" w:themeColor="text1"/>
              </w:rPr>
            </w:pPr>
            <w:r w:rsidRPr="008474AB">
              <w:rPr>
                <w:color w:val="000000" w:themeColor="text1"/>
              </w:rPr>
              <w:t xml:space="preserve">Students partially meet the requirements of ‘assess’ questions by considering more than one factor, and identifies which is the most important e.g. the causes of drought (June 2019 1GA01 q6e) or the effects of rapid </w:t>
            </w:r>
            <w:proofErr w:type="spellStart"/>
            <w:r w:rsidRPr="008474AB">
              <w:rPr>
                <w:color w:val="000000" w:themeColor="text1"/>
              </w:rPr>
              <w:t>urbanisation</w:t>
            </w:r>
            <w:proofErr w:type="spellEnd"/>
            <w:r w:rsidRPr="008474AB">
              <w:rPr>
                <w:color w:val="000000" w:themeColor="text1"/>
              </w:rPr>
              <w:t xml:space="preserve"> on a city (June 2019 1GA02 q1g).</w:t>
            </w:r>
          </w:p>
          <w:p w14:paraId="145719CE" w14:textId="77777777" w:rsidR="008474AB" w:rsidRPr="008474AB" w:rsidRDefault="008474AB" w:rsidP="008474AB">
            <w:pPr>
              <w:pStyle w:val="ListBullet"/>
              <w:rPr>
                <w:color w:val="000000" w:themeColor="text1"/>
              </w:rPr>
            </w:pPr>
            <w:r w:rsidRPr="008474AB">
              <w:rPr>
                <w:color w:val="000000" w:themeColor="text1"/>
              </w:rPr>
              <w:t>For ‘evaluate’ and/or ‘discuss’ questions, there is evidence of balanced and often well-developed arguments that begin to recognise the complexity of an issue and considers a limited range of factors linked to both sides of the argument. The borderline students are likely to come to a conclusion, usually making a judgement that is supported by limited evidence e.g. how a government has attempted to improve quality of life (June 2019 1GA02, q2g) or extent to which a two-speed economy exists in the UK (June 2019 1GA03, q5f).</w:t>
            </w:r>
          </w:p>
          <w:p w14:paraId="6C85B266" w14:textId="77777777" w:rsidR="008474AB" w:rsidRPr="008474AB" w:rsidRDefault="008474AB" w:rsidP="008474AB">
            <w:pPr>
              <w:pStyle w:val="ListBullet"/>
              <w:rPr>
                <w:color w:val="000000" w:themeColor="text1"/>
              </w:rPr>
            </w:pPr>
            <w:r w:rsidRPr="008474AB">
              <w:rPr>
                <w:color w:val="000000" w:themeColor="text1"/>
              </w:rPr>
              <w:t>In response to the ‘examine’ questions on 1GA01, there is some evidence of both AO3 and AO4 being met – although this may be inconsistent across Section A of the paper ; the borderline student does engage with the information from the resource(s) and has attempted to use material from the resource(s) in support of their explanations.</w:t>
            </w:r>
          </w:p>
          <w:p w14:paraId="6019E698" w14:textId="77777777" w:rsidR="008474AB" w:rsidRPr="008474AB" w:rsidRDefault="008474AB" w:rsidP="008474AB">
            <w:pPr>
              <w:pStyle w:val="ListBullet"/>
              <w:rPr>
                <w:color w:val="000000" w:themeColor="text1"/>
              </w:rPr>
            </w:pPr>
            <w:r w:rsidRPr="008474AB">
              <w:rPr>
                <w:color w:val="000000" w:themeColor="text1"/>
              </w:rPr>
              <w:t>Effective use of a limited range of located examples and/or case studies to support descriptions or explanations on short-open response questions, or to act as evidence used to formulate a conclusion or judgement on extended writing questions. Borderline students are may include a judgement, but this is not always based upon evidence already shared in the response.</w:t>
            </w:r>
          </w:p>
          <w:p w14:paraId="0DA0AC74" w14:textId="5CB032A7" w:rsidR="008474AB" w:rsidRPr="008474AB" w:rsidRDefault="008474AB" w:rsidP="008474AB">
            <w:pPr>
              <w:pStyle w:val="ListBullet"/>
              <w:rPr>
                <w:color w:val="000000" w:themeColor="text1"/>
              </w:rPr>
            </w:pPr>
            <w:r w:rsidRPr="008474AB">
              <w:rPr>
                <w:color w:val="000000" w:themeColor="text1"/>
              </w:rPr>
              <w:t xml:space="preserve">Uses several geographical skills to support more than one aspect of the enquiry process and is usually able to communicate enquiry-specific </w:t>
            </w:r>
            <w:r w:rsidRPr="008474AB">
              <w:rPr>
                <w:color w:val="000000" w:themeColor="text1"/>
              </w:rPr>
              <w:lastRenderedPageBreak/>
              <w:t>fieldwork findings with some coherence e.g. when explaining how secondary data supported the investigation (June 2019 1GA03, q1aii/2aii).</w:t>
            </w:r>
          </w:p>
        </w:tc>
      </w:tr>
    </w:tbl>
    <w:p w14:paraId="1C099CCC" w14:textId="11C31BBD" w:rsidR="0029190F" w:rsidRDefault="0029190F"/>
    <w:p w14:paraId="050BE5C6" w14:textId="77777777" w:rsidR="00504751" w:rsidRDefault="00504751"/>
    <w:bookmarkEnd w:id="2"/>
    <w:p w14:paraId="219771EE" w14:textId="77777777" w:rsidR="00BD5465" w:rsidRDefault="00BD5465">
      <w:pPr>
        <w:rPr>
          <w:rFonts w:ascii="Open Sans" w:eastAsiaTheme="majorEastAsia" w:hAnsi="Open Sans" w:cstheme="majorBidi"/>
          <w:b/>
          <w:bCs/>
          <w:color w:val="FF0000"/>
          <w:sz w:val="28"/>
        </w:rPr>
      </w:pPr>
      <w:r>
        <w:rPr>
          <w:color w:val="FF0000"/>
        </w:rPr>
        <w:br w:type="page"/>
      </w:r>
    </w:p>
    <w:p w14:paraId="61E1A2D6" w14:textId="17D65051" w:rsidR="00DE4531" w:rsidRDefault="008474AB" w:rsidP="56758FD5">
      <w:pPr>
        <w:pStyle w:val="Heading3"/>
        <w:rPr>
          <w:lang w:val="en-GB" w:eastAsia="en-GB"/>
        </w:rPr>
      </w:pPr>
      <w:r>
        <w:rPr>
          <w:lang w:val="en-GB" w:eastAsia="en-GB"/>
        </w:rPr>
        <w:lastRenderedPageBreak/>
        <w:t>GCSE Geography A</w:t>
      </w:r>
      <w:r>
        <w:rPr>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8474AB" w14:paraId="1F65E072" w14:textId="77777777" w:rsidTr="00904C86">
        <w:tc>
          <w:tcPr>
            <w:tcW w:w="2048" w:type="dxa"/>
          </w:tcPr>
          <w:p w14:paraId="2830D313" w14:textId="0709DC3D" w:rsidR="008474AB" w:rsidRPr="008474AB" w:rsidRDefault="008474AB" w:rsidP="008474AB">
            <w:pPr>
              <w:pStyle w:val="ListBullet"/>
              <w:numPr>
                <w:ilvl w:val="0"/>
                <w:numId w:val="0"/>
              </w:numPr>
              <w:rPr>
                <w:b/>
                <w:bCs/>
                <w:lang w:val="en-GB" w:eastAsia="en-GB"/>
              </w:rPr>
            </w:pPr>
            <w:r w:rsidRPr="008474AB">
              <w:rPr>
                <w:b/>
                <w:bCs/>
                <w:lang w:val="en-GB" w:eastAsia="en-GB"/>
              </w:rPr>
              <w:t>Grade 4</w:t>
            </w:r>
          </w:p>
          <w:p w14:paraId="741E3686" w14:textId="7EE6A34E" w:rsidR="008474AB" w:rsidRPr="00DE4531" w:rsidRDefault="008474AB" w:rsidP="008474AB">
            <w:pPr>
              <w:pStyle w:val="ListBullet"/>
              <w:numPr>
                <w:ilvl w:val="0"/>
                <w:numId w:val="0"/>
              </w:numPr>
              <w:rPr>
                <w:lang w:val="en-GB" w:eastAsia="en-GB"/>
              </w:rPr>
            </w:pPr>
            <w:r w:rsidRPr="008474AB">
              <w:rPr>
                <w:b/>
                <w:bCs/>
                <w:lang w:val="en-GB" w:eastAsia="en-GB"/>
              </w:rPr>
              <w:t>Most secure students</w:t>
            </w:r>
          </w:p>
        </w:tc>
        <w:tc>
          <w:tcPr>
            <w:tcW w:w="7897" w:type="dxa"/>
          </w:tcPr>
          <w:p w14:paraId="631C50B0"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Most secure students are generally able to demonstrate good knowledge and understanding of geographical concepts, processes and terminology e.g. ‘igneous’ (June 2019 1GA01, q1c).</w:t>
            </w:r>
          </w:p>
          <w:p w14:paraId="50506413"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Describes several patterns/distributions or features shown by the resource(s), but this occasionally lacks breadth or supporting data e.g. four-figure grid references and map symbols (June, 2019 1GA01, 1di).</w:t>
            </w:r>
          </w:p>
          <w:p w14:paraId="371C1B93"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Most secure students consistently demonstrate an accurate use of a range of basic mathematical and statistical skills e.g. the calculation of ‘mean, and writing the answer to one decimal place (June 2019, 1GA03 q5c).</w:t>
            </w:r>
          </w:p>
          <w:p w14:paraId="4C5A94BE"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 xml:space="preserve">In response to 3- and 4-mark open-response questions, one or two basic explanations / suggestions are offered which lack much development of the initial idea e.g. for differences in mean annual earnings in selected UK cities (June 2019 1GA02, q1bii). The standard will be generally consistent across all three papers. </w:t>
            </w:r>
          </w:p>
          <w:p w14:paraId="4A091BA8"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 xml:space="preserve">In response to the 8-mark ‘assess’ questions, the most secure candidates are able recall and apply their geographical knowledge and understanding to question; in doing so, responses are largely descriptive, with partial explanation and a limited attempt to identify which factor is the most important e.g. the causes of drought (June 2019 1GA01 q6e) or the effects of rapid </w:t>
            </w:r>
            <w:proofErr w:type="spellStart"/>
            <w:r w:rsidRPr="008474AB">
              <w:rPr>
                <w:color w:val="000000" w:themeColor="text1"/>
              </w:rPr>
              <w:t>urbanisation</w:t>
            </w:r>
            <w:proofErr w:type="spellEnd"/>
            <w:r w:rsidRPr="008474AB">
              <w:rPr>
                <w:color w:val="000000" w:themeColor="text1"/>
              </w:rPr>
              <w:t xml:space="preserve"> on a city (June 2019 1GA02 q1g).</w:t>
            </w:r>
          </w:p>
          <w:p w14:paraId="5A76E5AE"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The command words ‘evaluate’ and ‘discuss’ are not fully addressed, with responses often imbalanced. These students recognise in a limited way the importance of distinguishing between different viewpoints, for example ‘advantages and disadvantages’ – and has attempted to developed at least reasoned, coherent argument. Judgements or conclusions are usually present, but are not always supported by evidence e.g. how a government has attempted to improve quality of life (June 2019 1GA02, q2g) or extent to which a two-speed economy exists in the UK (June 2019 1GA03, q5f).</w:t>
            </w:r>
          </w:p>
          <w:p w14:paraId="1E562266"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In response to the ‘examine’ questions on 1GA01, there is usually some evidence of both AO3 and AO4 – but this is usually imbalanced, for example a detailed explanation of process (AO3) with only limited supporting evidence from the resource(s) (AO4).</w:t>
            </w:r>
          </w:p>
          <w:p w14:paraId="697262E4"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The most secure students are able to use a limited range of relevant located examples / case studies to support descriptions or explanations for short open-response questions; e.g. generic views are considered about energy / water management without any specific information about organisations or governments (June 2019 1GA02, q4e (energy) and q5e (water)).</w:t>
            </w:r>
          </w:p>
          <w:p w14:paraId="461E9C7A" w14:textId="6448BBBD" w:rsidR="008474AB" w:rsidRPr="008474AB" w:rsidRDefault="008474AB" w:rsidP="008474AB">
            <w:pPr>
              <w:pStyle w:val="ListBullet"/>
              <w:numPr>
                <w:ilvl w:val="0"/>
                <w:numId w:val="42"/>
              </w:numPr>
              <w:rPr>
                <w:color w:val="000000" w:themeColor="text1"/>
              </w:rPr>
            </w:pPr>
            <w:r w:rsidRPr="008474AB">
              <w:rPr>
                <w:color w:val="000000" w:themeColor="text1"/>
              </w:rPr>
              <w:lastRenderedPageBreak/>
              <w:t>Consistently accurate use of a several geographical skills to support some aspects of the enquiry process, but with an imbalance in performance between the ‘familiar’ and ‘unfamiliar’ fieldwork-based questions.</w:t>
            </w:r>
          </w:p>
        </w:tc>
      </w:tr>
      <w:tr w:rsidR="008474AB" w14:paraId="3B516335" w14:textId="77777777" w:rsidTr="00904C86">
        <w:tc>
          <w:tcPr>
            <w:tcW w:w="2048" w:type="dxa"/>
          </w:tcPr>
          <w:p w14:paraId="22602D03" w14:textId="214AD6D7" w:rsidR="008474AB" w:rsidRPr="008474AB" w:rsidRDefault="008474AB" w:rsidP="008474AB">
            <w:pPr>
              <w:pStyle w:val="ListBullet"/>
              <w:numPr>
                <w:ilvl w:val="0"/>
                <w:numId w:val="0"/>
              </w:numPr>
              <w:rPr>
                <w:b/>
                <w:bCs/>
                <w:lang w:val="en-GB" w:eastAsia="en-GB"/>
              </w:rPr>
            </w:pPr>
            <w:r w:rsidRPr="008474AB">
              <w:rPr>
                <w:b/>
                <w:bCs/>
                <w:lang w:val="en-GB" w:eastAsia="en-GB"/>
              </w:rPr>
              <w:lastRenderedPageBreak/>
              <w:t xml:space="preserve">Grade 4 </w:t>
            </w:r>
          </w:p>
          <w:p w14:paraId="5EAB9D63" w14:textId="77777777" w:rsidR="008474AB" w:rsidRPr="00DE4531" w:rsidRDefault="008474AB" w:rsidP="008474AB">
            <w:pPr>
              <w:pStyle w:val="ListBullet"/>
              <w:numPr>
                <w:ilvl w:val="0"/>
                <w:numId w:val="0"/>
              </w:numPr>
              <w:rPr>
                <w:lang w:val="en-GB" w:eastAsia="en-GB"/>
              </w:rPr>
            </w:pPr>
            <w:r w:rsidRPr="008474AB">
              <w:rPr>
                <w:b/>
                <w:bCs/>
                <w:lang w:val="en-GB" w:eastAsia="en-GB"/>
              </w:rPr>
              <w:t>Secure students</w:t>
            </w:r>
          </w:p>
        </w:tc>
        <w:tc>
          <w:tcPr>
            <w:tcW w:w="7897" w:type="dxa"/>
          </w:tcPr>
          <w:p w14:paraId="38D29CF3"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Secure students are generally able to demonstrate reasonable knowledge and some understanding of geographical concepts, processes and terminology e.g. ‘sedimentary’ (June 2019 1GA01, q1b).</w:t>
            </w:r>
          </w:p>
          <w:p w14:paraId="02DBED0C"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Describes the main patterns/distributions or features shown by the resource(s), but this may lack breadth or supporting data e.g. the distribution of countries on a choropleth map (June, 2019 1GA02, 2ci).</w:t>
            </w:r>
          </w:p>
          <w:p w14:paraId="4A21A5DF"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Secure students usually demonstrate an accurate use of a range of basic mathematical and statistical skills e.g. the calculation of ‘range’ (June 2019 1GA02, 1bi).</w:t>
            </w:r>
          </w:p>
          <w:p w14:paraId="07E544EB"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 xml:space="preserve">In response to 3- and 4-mark open-response questions, these students will offer one or two basic explanations / suggestion which lack much development of the initial idea e.g. approaches to the conservation of UK National Parks (June 2019 1GA03, q5e). The standard will be variable and they will often achieve more success in one paper or section rather than others. </w:t>
            </w:r>
          </w:p>
          <w:p w14:paraId="01919AE1"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 xml:space="preserve">In response to the 8-mark ‘assess’ questions, the secure candidates are able recall and apply, in a limited manner, their geographical knowledge and understanding so there is some relationship between question and answer. Responses are largely descriptive, with limited explanation and a limited or no attempt to identify which factor is the most important e.g. the causes of drought (June 2019 1GA01 q6e) or the effects of rapid </w:t>
            </w:r>
            <w:proofErr w:type="spellStart"/>
            <w:r w:rsidRPr="008474AB">
              <w:rPr>
                <w:color w:val="000000" w:themeColor="text1"/>
              </w:rPr>
              <w:t>urbanisation</w:t>
            </w:r>
            <w:proofErr w:type="spellEnd"/>
            <w:r w:rsidRPr="008474AB">
              <w:rPr>
                <w:color w:val="000000" w:themeColor="text1"/>
              </w:rPr>
              <w:t xml:space="preserve"> on a city (June 2019 1GA02 q1g).</w:t>
            </w:r>
          </w:p>
          <w:p w14:paraId="49EF635C"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The command words ‘evaluate’ and ‘discuss’ are not fully addressed, with responses often imbalanced. Borderline students may recognise that different sides to an argument or a different approach to an issue exist, but they do not always apply their knowledge and understanding to demonstrate how these link to coherent arguments. The idea of a conclusion or concluding paragraph might be understood, but not necessarily a substantiated conclusion or judgement e.g. how a government has attempted to improve quality of life (June 2019 1GA02, q2g) or extent to which a two-speed economy exists in the UK (June 2019 1GA03, q5f).</w:t>
            </w:r>
          </w:p>
          <w:p w14:paraId="7FC38E0C"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In response to the ‘examine’ questions on 1GA01, there is usually some evidence of both AO3 and AO4 – but this is usually imbalance, for example a detailed explanation of process (AO3) without supporting evidence from the resource(s) (AO4).</w:t>
            </w:r>
          </w:p>
          <w:p w14:paraId="68312A59" w14:textId="77777777" w:rsidR="008474AB" w:rsidRDefault="008474AB" w:rsidP="008474AB">
            <w:pPr>
              <w:pStyle w:val="ListBullet"/>
              <w:numPr>
                <w:ilvl w:val="0"/>
                <w:numId w:val="42"/>
              </w:numPr>
              <w:ind w:left="316" w:hanging="283"/>
              <w:rPr>
                <w:color w:val="000000" w:themeColor="text1"/>
              </w:rPr>
            </w:pPr>
            <w:r w:rsidRPr="008474AB">
              <w:rPr>
                <w:color w:val="000000" w:themeColor="text1"/>
              </w:rPr>
              <w:lastRenderedPageBreak/>
              <w:t>The secure students do attempt to use of located examples / case studies to support descriptions or explanations for short open-response questions; however, some examples are not appropriate or are generalised e.g. generic views are considered about energy / water management without any specific information about organisations or governments (June 2019 1GA02, q4e (energy) and q5e (water)).</w:t>
            </w:r>
          </w:p>
          <w:p w14:paraId="78C1BBDF" w14:textId="2CEBABF9"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Mainly accurate use of a several geographical skills to support some aspects of the enquiry process, but with an imbalance in performance between the ‘familiar’ and ‘unfamiliar’ fieldwork-based questions.</w:t>
            </w:r>
          </w:p>
        </w:tc>
      </w:tr>
      <w:tr w:rsidR="008474AB" w14:paraId="5B8B9CBC" w14:textId="77777777" w:rsidTr="00904C86">
        <w:tc>
          <w:tcPr>
            <w:tcW w:w="2048" w:type="dxa"/>
          </w:tcPr>
          <w:p w14:paraId="7BC9D843" w14:textId="77777777" w:rsidR="008474AB" w:rsidRPr="008474AB" w:rsidRDefault="008474AB" w:rsidP="008474AB">
            <w:pPr>
              <w:pStyle w:val="ListBullet"/>
              <w:numPr>
                <w:ilvl w:val="0"/>
                <w:numId w:val="0"/>
              </w:numPr>
              <w:rPr>
                <w:b/>
                <w:bCs/>
                <w:color w:val="000000" w:themeColor="text1"/>
                <w:lang w:val="en-GB" w:eastAsia="en-GB"/>
              </w:rPr>
            </w:pPr>
            <w:r w:rsidRPr="008474AB">
              <w:rPr>
                <w:b/>
                <w:bCs/>
                <w:color w:val="000000" w:themeColor="text1"/>
                <w:lang w:val="en-GB" w:eastAsia="en-GB"/>
              </w:rPr>
              <w:lastRenderedPageBreak/>
              <w:t>Grade 4</w:t>
            </w:r>
          </w:p>
          <w:p w14:paraId="14C2C879" w14:textId="097A7C40" w:rsidR="008474AB" w:rsidRPr="008474AB" w:rsidRDefault="008474AB" w:rsidP="008474AB">
            <w:pPr>
              <w:pStyle w:val="ListBullet"/>
              <w:numPr>
                <w:ilvl w:val="0"/>
                <w:numId w:val="0"/>
              </w:numPr>
              <w:rPr>
                <w:color w:val="000000" w:themeColor="text1"/>
                <w:lang w:val="en-GB" w:eastAsia="en-GB"/>
              </w:rPr>
            </w:pPr>
            <w:r w:rsidRPr="008474AB">
              <w:rPr>
                <w:b/>
                <w:bCs/>
                <w:color w:val="000000" w:themeColor="text1"/>
                <w:lang w:val="en-GB" w:eastAsia="en-GB"/>
              </w:rPr>
              <w:t>Borderline students</w:t>
            </w:r>
          </w:p>
        </w:tc>
        <w:tc>
          <w:tcPr>
            <w:tcW w:w="7897" w:type="dxa"/>
          </w:tcPr>
          <w:p w14:paraId="6AFD5183"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Borderline students are generally able to demonstrate limited knowledge and partial understanding of geographical concepts, processes and terminology e.g. ‘periphery’ and ‘abiotic’ (June 2019 1GA02, q2d and 3ai).</w:t>
            </w:r>
          </w:p>
          <w:p w14:paraId="132CEF40"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Describes some patterns/distributions or features shown by the resource(s), but this usually lacks breadth and/or supporting data.</w:t>
            </w:r>
          </w:p>
          <w:p w14:paraId="3DE32A04"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Borderline students usually demonstrate an accurate use of a small range of basic mathematical and statistical skills e.g. reading data off a horizontal bar chart (June 2019 1GA03, q5a).</w:t>
            </w:r>
          </w:p>
          <w:p w14:paraId="4ECFA508"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 xml:space="preserve">In response to 3- and 4-mark open-response questions, these students will offer one or two basic ideas – but will usually perform better on ‘explain’ questions compared to ‘suggest’ questions (which have a greater emphasis on the application of knowledge and understanding) e.g. how Milankovitch cycles can affect global temperature (June 2019 1GA01 q6b). The standard will be variable and they will often achieve more success in one paper or section rather than others. </w:t>
            </w:r>
          </w:p>
          <w:p w14:paraId="0EFB0BFC"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 xml:space="preserve">In response to the 8-mark ‘assess’ questions, the borderline candidates are able recall and begin to simply apply, in a limited manner, their geographical knowledge and understanding. Responses are largely descriptive, with little or no explanation or attempt to identify which factor is the most important e.g. the causes of drought (June 2019 1GA01 q6e) or the effects of rapid </w:t>
            </w:r>
            <w:proofErr w:type="spellStart"/>
            <w:r w:rsidRPr="008474AB">
              <w:rPr>
                <w:color w:val="000000" w:themeColor="text1"/>
              </w:rPr>
              <w:t>urbanisation</w:t>
            </w:r>
            <w:proofErr w:type="spellEnd"/>
            <w:r w:rsidRPr="008474AB">
              <w:rPr>
                <w:color w:val="000000" w:themeColor="text1"/>
              </w:rPr>
              <w:t xml:space="preserve"> on a city (June 2019 1GA02 q1g).</w:t>
            </w:r>
          </w:p>
          <w:p w14:paraId="5007817C"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The command words ‘evaluate’ and ‘discuss’ are not fully addressed, with responses often imbalanced, for example with a focus mainly on the advantages, strengths and/or success of something, without considering the other side of the argument. Judgements or conclusions are not always present and are only partially supported by evidence e.g. how a government has attempted to improve quality of life (June 2019 1GA02, q2g) or extent to which a two-speed economy exists in the UK (June 2019 1GA03, q5f).</w:t>
            </w:r>
          </w:p>
          <w:p w14:paraId="4AFF6210" w14:textId="77777777"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In response to the ‘examine’ questions on 1GA01, responses rarely move beyond low Level 2 (4 marks) due to an absence of either AO3 or AO4.</w:t>
            </w:r>
          </w:p>
          <w:p w14:paraId="3C636295" w14:textId="77777777" w:rsidR="008474AB" w:rsidRDefault="008474AB" w:rsidP="008474AB">
            <w:pPr>
              <w:pStyle w:val="ListBullet"/>
              <w:numPr>
                <w:ilvl w:val="0"/>
                <w:numId w:val="42"/>
              </w:numPr>
              <w:ind w:left="316" w:hanging="283"/>
              <w:rPr>
                <w:color w:val="000000" w:themeColor="text1"/>
              </w:rPr>
            </w:pPr>
            <w:r w:rsidRPr="008474AB">
              <w:rPr>
                <w:color w:val="000000" w:themeColor="text1"/>
              </w:rPr>
              <w:lastRenderedPageBreak/>
              <w:t>The borderline students often do not attempt to use located examples / case studies to support descriptions or explanations for short open-response questions; where examples are used, they are usually not appropriate or are generalised e.g. generic views are considered about energy / water management without any specific information about organisations or governments (June 2019 1GA02, q4e (energy) and q5e (water)).</w:t>
            </w:r>
          </w:p>
          <w:p w14:paraId="0F917D96" w14:textId="7B16FFE1" w:rsidR="008474AB" w:rsidRPr="008474AB" w:rsidRDefault="008474AB" w:rsidP="008474AB">
            <w:pPr>
              <w:pStyle w:val="ListBullet"/>
              <w:numPr>
                <w:ilvl w:val="0"/>
                <w:numId w:val="42"/>
              </w:numPr>
              <w:ind w:left="316" w:hanging="283"/>
              <w:rPr>
                <w:color w:val="000000" w:themeColor="text1"/>
              </w:rPr>
            </w:pPr>
            <w:r w:rsidRPr="008474AB">
              <w:rPr>
                <w:color w:val="000000" w:themeColor="text1"/>
              </w:rPr>
              <w:t>Mainly accurate use of a limited range of geographical skills to support some aspects of the enquiry process, but with an imbalance in performance between the ‘familiar’ and ‘unfamiliar’ fieldwork-based questions.</w:t>
            </w:r>
          </w:p>
        </w:tc>
      </w:tr>
    </w:tbl>
    <w:p w14:paraId="5F0538B1" w14:textId="49FA6A1D" w:rsidR="00BD5465" w:rsidRDefault="00BD5465"/>
    <w:p w14:paraId="21B04700" w14:textId="44DF1211" w:rsidR="00DE4531" w:rsidRDefault="00DE4531" w:rsidP="002562CC">
      <w:pPr>
        <w:pStyle w:val="ListBullet"/>
        <w:numPr>
          <w:ilvl w:val="0"/>
          <w:numId w:val="0"/>
        </w:numPr>
        <w:ind w:left="357" w:hanging="357"/>
      </w:pPr>
    </w:p>
    <w:bookmarkEnd w:id="1"/>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45289F28"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8474AB">
          <w:rPr>
            <w:rStyle w:val="Hyperlink"/>
            <w:color w:val="0070C0"/>
          </w:rPr>
          <w:t>the subject pages</w:t>
        </w:r>
      </w:hyperlink>
      <w:r w:rsidRPr="008474AB">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752BB97C" w14:textId="4C025CAD" w:rsidR="4E66E24F" w:rsidRDefault="005A6E88" w:rsidP="4E66E24F">
      <w:pPr>
        <w:pStyle w:val="ListParagraph"/>
        <w:numPr>
          <w:ilvl w:val="0"/>
          <w:numId w:val="42"/>
        </w:numPr>
      </w:pPr>
      <w:r>
        <w:t xml:space="preserve">you can contact us via our </w:t>
      </w:r>
      <w:hyperlink r:id="rId16" w:history="1">
        <w:r w:rsidRPr="008474AB">
          <w:rPr>
            <w:rStyle w:val="Hyperlink"/>
            <w:color w:val="0070C0"/>
          </w:rPr>
          <w:t>Ask the Expert Service</w:t>
        </w:r>
      </w:hyperlink>
    </w:p>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379DE" w14:textId="77777777" w:rsidR="00264DB2" w:rsidRDefault="00264DB2" w:rsidP="003F4BE3">
      <w:r>
        <w:separator/>
      </w:r>
    </w:p>
    <w:p w14:paraId="4C871ECD" w14:textId="77777777" w:rsidR="00264DB2" w:rsidRDefault="00264DB2"/>
    <w:p w14:paraId="76B5808D" w14:textId="77777777" w:rsidR="00264DB2" w:rsidRDefault="00264DB2"/>
  </w:endnote>
  <w:endnote w:type="continuationSeparator" w:id="0">
    <w:p w14:paraId="3A1493A9" w14:textId="77777777" w:rsidR="00264DB2" w:rsidRDefault="00264DB2" w:rsidP="003F4BE3">
      <w:r>
        <w:continuationSeparator/>
      </w:r>
    </w:p>
    <w:p w14:paraId="42718B78" w14:textId="77777777" w:rsidR="00264DB2" w:rsidRDefault="00264DB2"/>
    <w:p w14:paraId="1900429A" w14:textId="77777777" w:rsidR="00264DB2" w:rsidRDefault="00264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16C8EC0F" w:rsidR="00DD171B" w:rsidRPr="008474AB" w:rsidRDefault="008474AB" w:rsidP="008474AB">
    <w:pPr>
      <w:pStyle w:val="Footer"/>
    </w:pPr>
    <w:r>
      <w:t xml:space="preserve">GCSE Geography </w:t>
    </w:r>
    <w:proofErr w:type="spellStart"/>
    <w:r>
      <w:t>A_Grade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76E66B48" w:rsidR="00037899" w:rsidRDefault="008474AB" w:rsidP="00721737">
    <w:pPr>
      <w:pStyle w:val="Footer"/>
    </w:pPr>
    <w:r>
      <w:t xml:space="preserve">GCSE Geography </w:t>
    </w:r>
    <w:proofErr w:type="spellStart"/>
    <w:r>
      <w:t>A_Grade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D059D" w14:textId="77777777" w:rsidR="00264DB2" w:rsidRDefault="00264DB2" w:rsidP="003F4BE3">
      <w:r>
        <w:separator/>
      </w:r>
    </w:p>
    <w:p w14:paraId="590D4E32" w14:textId="77777777" w:rsidR="00264DB2" w:rsidRDefault="00264DB2"/>
    <w:p w14:paraId="6E7DBF3C" w14:textId="77777777" w:rsidR="00264DB2" w:rsidRDefault="00264DB2"/>
  </w:footnote>
  <w:footnote w:type="continuationSeparator" w:id="0">
    <w:p w14:paraId="4AFB0B83" w14:textId="77777777" w:rsidR="00264DB2" w:rsidRDefault="00264DB2" w:rsidP="003F4BE3">
      <w:r>
        <w:continuationSeparator/>
      </w:r>
    </w:p>
    <w:p w14:paraId="1BF57842" w14:textId="77777777" w:rsidR="00264DB2" w:rsidRDefault="00264DB2"/>
    <w:p w14:paraId="33134362" w14:textId="77777777" w:rsidR="00264DB2" w:rsidRDefault="00264D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F426D9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4"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E5B91"/>
    <w:multiLevelType w:val="hybridMultilevel"/>
    <w:tmpl w:val="3ED4C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5"/>
  </w:num>
  <w:num w:numId="35">
    <w:abstractNumId w:val="17"/>
  </w:num>
  <w:num w:numId="36">
    <w:abstractNumId w:val="11"/>
  </w:num>
  <w:num w:numId="37">
    <w:abstractNumId w:val="32"/>
  </w:num>
  <w:num w:numId="38">
    <w:abstractNumId w:val="36"/>
  </w:num>
  <w:num w:numId="39">
    <w:abstractNumId w:val="37"/>
  </w:num>
  <w:num w:numId="40">
    <w:abstractNumId w:val="25"/>
  </w:num>
  <w:num w:numId="41">
    <w:abstractNumId w:val="16"/>
  </w:num>
  <w:num w:numId="4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681E"/>
    <w:rsid w:val="00007CB7"/>
    <w:rsid w:val="000122CC"/>
    <w:rsid w:val="00014F1F"/>
    <w:rsid w:val="000348F9"/>
    <w:rsid w:val="00037899"/>
    <w:rsid w:val="000379A2"/>
    <w:rsid w:val="00041450"/>
    <w:rsid w:val="00043464"/>
    <w:rsid w:val="00053208"/>
    <w:rsid w:val="00053F84"/>
    <w:rsid w:val="00057C2F"/>
    <w:rsid w:val="00064CFA"/>
    <w:rsid w:val="00072AD6"/>
    <w:rsid w:val="00077855"/>
    <w:rsid w:val="000902A4"/>
    <w:rsid w:val="000A0109"/>
    <w:rsid w:val="000B523F"/>
    <w:rsid w:val="000B597C"/>
    <w:rsid w:val="000D22F0"/>
    <w:rsid w:val="000D38EE"/>
    <w:rsid w:val="000D51BA"/>
    <w:rsid w:val="000E14A7"/>
    <w:rsid w:val="000E5BFA"/>
    <w:rsid w:val="000E7EC1"/>
    <w:rsid w:val="00100DDB"/>
    <w:rsid w:val="00102BFA"/>
    <w:rsid w:val="00105ADD"/>
    <w:rsid w:val="001127EE"/>
    <w:rsid w:val="0011613C"/>
    <w:rsid w:val="00117A43"/>
    <w:rsid w:val="00117F1F"/>
    <w:rsid w:val="001418BE"/>
    <w:rsid w:val="0015549D"/>
    <w:rsid w:val="001679F8"/>
    <w:rsid w:val="00171271"/>
    <w:rsid w:val="00181199"/>
    <w:rsid w:val="001819BF"/>
    <w:rsid w:val="00184CAA"/>
    <w:rsid w:val="00193B73"/>
    <w:rsid w:val="001C69A4"/>
    <w:rsid w:val="001D54A2"/>
    <w:rsid w:val="001E4E76"/>
    <w:rsid w:val="001E57B1"/>
    <w:rsid w:val="001E5C50"/>
    <w:rsid w:val="001F00B0"/>
    <w:rsid w:val="001F2B2C"/>
    <w:rsid w:val="001F7B64"/>
    <w:rsid w:val="002046E7"/>
    <w:rsid w:val="0022454A"/>
    <w:rsid w:val="002351C4"/>
    <w:rsid w:val="00247EAA"/>
    <w:rsid w:val="002562CC"/>
    <w:rsid w:val="002572FE"/>
    <w:rsid w:val="00264DB2"/>
    <w:rsid w:val="002653BB"/>
    <w:rsid w:val="0026673C"/>
    <w:rsid w:val="00271137"/>
    <w:rsid w:val="0029190F"/>
    <w:rsid w:val="002937D0"/>
    <w:rsid w:val="00293A47"/>
    <w:rsid w:val="00297F5E"/>
    <w:rsid w:val="002D355A"/>
    <w:rsid w:val="002D46A3"/>
    <w:rsid w:val="00304848"/>
    <w:rsid w:val="00334437"/>
    <w:rsid w:val="0034112A"/>
    <w:rsid w:val="00350D6A"/>
    <w:rsid w:val="00354F66"/>
    <w:rsid w:val="00370DFE"/>
    <w:rsid w:val="00372CAF"/>
    <w:rsid w:val="0037577F"/>
    <w:rsid w:val="0037680C"/>
    <w:rsid w:val="00396B83"/>
    <w:rsid w:val="003A0A13"/>
    <w:rsid w:val="003A6485"/>
    <w:rsid w:val="003B5584"/>
    <w:rsid w:val="003C3860"/>
    <w:rsid w:val="003C68D9"/>
    <w:rsid w:val="003E387B"/>
    <w:rsid w:val="003E6918"/>
    <w:rsid w:val="003F4BE3"/>
    <w:rsid w:val="004060AB"/>
    <w:rsid w:val="0040647C"/>
    <w:rsid w:val="00412EA3"/>
    <w:rsid w:val="00451930"/>
    <w:rsid w:val="004601BF"/>
    <w:rsid w:val="00460AF6"/>
    <w:rsid w:val="004625BE"/>
    <w:rsid w:val="004A2450"/>
    <w:rsid w:val="004A5A7A"/>
    <w:rsid w:val="004B5905"/>
    <w:rsid w:val="004C46C8"/>
    <w:rsid w:val="004D0035"/>
    <w:rsid w:val="004D1A96"/>
    <w:rsid w:val="004D1EC2"/>
    <w:rsid w:val="004E5BA9"/>
    <w:rsid w:val="00502EF6"/>
    <w:rsid w:val="00504751"/>
    <w:rsid w:val="00507FCC"/>
    <w:rsid w:val="0054162F"/>
    <w:rsid w:val="00542EC4"/>
    <w:rsid w:val="00544C21"/>
    <w:rsid w:val="00547F97"/>
    <w:rsid w:val="00553B48"/>
    <w:rsid w:val="0055789C"/>
    <w:rsid w:val="00563798"/>
    <w:rsid w:val="00564BCB"/>
    <w:rsid w:val="0056618E"/>
    <w:rsid w:val="00575EBD"/>
    <w:rsid w:val="005767CD"/>
    <w:rsid w:val="00582573"/>
    <w:rsid w:val="0059472F"/>
    <w:rsid w:val="005955EF"/>
    <w:rsid w:val="005A3092"/>
    <w:rsid w:val="005A6B4B"/>
    <w:rsid w:val="005A6E88"/>
    <w:rsid w:val="005B3FE8"/>
    <w:rsid w:val="005C0D18"/>
    <w:rsid w:val="005C13F3"/>
    <w:rsid w:val="005D30E4"/>
    <w:rsid w:val="005E3F35"/>
    <w:rsid w:val="005F69F0"/>
    <w:rsid w:val="006110F0"/>
    <w:rsid w:val="00616BBD"/>
    <w:rsid w:val="006205B7"/>
    <w:rsid w:val="00631134"/>
    <w:rsid w:val="00655737"/>
    <w:rsid w:val="00661ED5"/>
    <w:rsid w:val="00667558"/>
    <w:rsid w:val="00677381"/>
    <w:rsid w:val="006867BA"/>
    <w:rsid w:val="006A52E7"/>
    <w:rsid w:val="006B1D13"/>
    <w:rsid w:val="006B72CE"/>
    <w:rsid w:val="006C1438"/>
    <w:rsid w:val="006D106C"/>
    <w:rsid w:val="006D3CEC"/>
    <w:rsid w:val="00704696"/>
    <w:rsid w:val="00715E19"/>
    <w:rsid w:val="0071692E"/>
    <w:rsid w:val="00721737"/>
    <w:rsid w:val="007301AA"/>
    <w:rsid w:val="00734AB3"/>
    <w:rsid w:val="00741671"/>
    <w:rsid w:val="0074301F"/>
    <w:rsid w:val="00745D17"/>
    <w:rsid w:val="00747EAF"/>
    <w:rsid w:val="00761BBA"/>
    <w:rsid w:val="00763BC1"/>
    <w:rsid w:val="00766C1F"/>
    <w:rsid w:val="00774BAF"/>
    <w:rsid w:val="00781A9C"/>
    <w:rsid w:val="007839CE"/>
    <w:rsid w:val="00796CF5"/>
    <w:rsid w:val="0079779E"/>
    <w:rsid w:val="007A4078"/>
    <w:rsid w:val="007B2C4D"/>
    <w:rsid w:val="007B2D68"/>
    <w:rsid w:val="007C49BE"/>
    <w:rsid w:val="007D718E"/>
    <w:rsid w:val="00800435"/>
    <w:rsid w:val="008051B3"/>
    <w:rsid w:val="00817AFE"/>
    <w:rsid w:val="00835AB3"/>
    <w:rsid w:val="008440B6"/>
    <w:rsid w:val="00847041"/>
    <w:rsid w:val="008474AB"/>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06B9"/>
    <w:rsid w:val="00903FC6"/>
    <w:rsid w:val="00911178"/>
    <w:rsid w:val="00930665"/>
    <w:rsid w:val="00934042"/>
    <w:rsid w:val="00950750"/>
    <w:rsid w:val="0095150B"/>
    <w:rsid w:val="00952FB5"/>
    <w:rsid w:val="009543F9"/>
    <w:rsid w:val="00954E22"/>
    <w:rsid w:val="009571F5"/>
    <w:rsid w:val="00962DFD"/>
    <w:rsid w:val="009B553F"/>
    <w:rsid w:val="009B6ECD"/>
    <w:rsid w:val="009C472E"/>
    <w:rsid w:val="009C6DA5"/>
    <w:rsid w:val="009D0F19"/>
    <w:rsid w:val="009F4CBF"/>
    <w:rsid w:val="00A13C21"/>
    <w:rsid w:val="00A17EEE"/>
    <w:rsid w:val="00A31D68"/>
    <w:rsid w:val="00A33826"/>
    <w:rsid w:val="00A42E78"/>
    <w:rsid w:val="00A43012"/>
    <w:rsid w:val="00A449BE"/>
    <w:rsid w:val="00A450AC"/>
    <w:rsid w:val="00A64830"/>
    <w:rsid w:val="00AA770F"/>
    <w:rsid w:val="00AB36E3"/>
    <w:rsid w:val="00AC3525"/>
    <w:rsid w:val="00AD0143"/>
    <w:rsid w:val="00AD5F45"/>
    <w:rsid w:val="00AE2D43"/>
    <w:rsid w:val="00AE7FBC"/>
    <w:rsid w:val="00AF02B1"/>
    <w:rsid w:val="00B21040"/>
    <w:rsid w:val="00B25A5F"/>
    <w:rsid w:val="00B314E6"/>
    <w:rsid w:val="00B34AA5"/>
    <w:rsid w:val="00B35BE1"/>
    <w:rsid w:val="00B37260"/>
    <w:rsid w:val="00B40B44"/>
    <w:rsid w:val="00B415B7"/>
    <w:rsid w:val="00B44D2D"/>
    <w:rsid w:val="00B53DD4"/>
    <w:rsid w:val="00B62D47"/>
    <w:rsid w:val="00B709DD"/>
    <w:rsid w:val="00B7167F"/>
    <w:rsid w:val="00BB6C7A"/>
    <w:rsid w:val="00BC6855"/>
    <w:rsid w:val="00BD5465"/>
    <w:rsid w:val="00BD6036"/>
    <w:rsid w:val="00BD61E5"/>
    <w:rsid w:val="00C1774B"/>
    <w:rsid w:val="00C17B95"/>
    <w:rsid w:val="00C21870"/>
    <w:rsid w:val="00C32710"/>
    <w:rsid w:val="00C35904"/>
    <w:rsid w:val="00C46C04"/>
    <w:rsid w:val="00C51B48"/>
    <w:rsid w:val="00C81C69"/>
    <w:rsid w:val="00C84A2A"/>
    <w:rsid w:val="00CB2FB2"/>
    <w:rsid w:val="00CC66A9"/>
    <w:rsid w:val="00CD0ADE"/>
    <w:rsid w:val="00CE6AF8"/>
    <w:rsid w:val="00CF3FED"/>
    <w:rsid w:val="00D12336"/>
    <w:rsid w:val="00D166C4"/>
    <w:rsid w:val="00D27181"/>
    <w:rsid w:val="00D831E2"/>
    <w:rsid w:val="00D8676C"/>
    <w:rsid w:val="00D9290C"/>
    <w:rsid w:val="00DA61F9"/>
    <w:rsid w:val="00DB186A"/>
    <w:rsid w:val="00DB6280"/>
    <w:rsid w:val="00DC123C"/>
    <w:rsid w:val="00DC2E3C"/>
    <w:rsid w:val="00DD171B"/>
    <w:rsid w:val="00DD4DC8"/>
    <w:rsid w:val="00DE4531"/>
    <w:rsid w:val="00DE5DF0"/>
    <w:rsid w:val="00DF3552"/>
    <w:rsid w:val="00DF3A0D"/>
    <w:rsid w:val="00DF7A14"/>
    <w:rsid w:val="00E054AC"/>
    <w:rsid w:val="00E128DE"/>
    <w:rsid w:val="00E23A55"/>
    <w:rsid w:val="00E251D7"/>
    <w:rsid w:val="00E277C7"/>
    <w:rsid w:val="00E410EF"/>
    <w:rsid w:val="00E41A40"/>
    <w:rsid w:val="00E51481"/>
    <w:rsid w:val="00E535B6"/>
    <w:rsid w:val="00E5418C"/>
    <w:rsid w:val="00E62BEC"/>
    <w:rsid w:val="00E64741"/>
    <w:rsid w:val="00E6642C"/>
    <w:rsid w:val="00E81C00"/>
    <w:rsid w:val="00E9353B"/>
    <w:rsid w:val="00EB2930"/>
    <w:rsid w:val="00EB470B"/>
    <w:rsid w:val="00ED23D2"/>
    <w:rsid w:val="00ED40D9"/>
    <w:rsid w:val="00ED59F6"/>
    <w:rsid w:val="00EE7341"/>
    <w:rsid w:val="00EF08D0"/>
    <w:rsid w:val="00EF67EC"/>
    <w:rsid w:val="00EF7762"/>
    <w:rsid w:val="00F04C1F"/>
    <w:rsid w:val="00F0503E"/>
    <w:rsid w:val="00F06919"/>
    <w:rsid w:val="00F06D48"/>
    <w:rsid w:val="00F160D0"/>
    <w:rsid w:val="00F31B75"/>
    <w:rsid w:val="00F374D6"/>
    <w:rsid w:val="00F408E4"/>
    <w:rsid w:val="00F47CB3"/>
    <w:rsid w:val="00F5216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84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geography-a-2016.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geography-a-2016.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geography-a-2016.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F4C97-3044-4F38-912A-CBB59143F403}">
  <ds:schemaRefs>
    <ds:schemaRef ds:uri="http://schemas.openxmlformats.org/officeDocument/2006/bibliography"/>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0</TotalTime>
  <Pages>10</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20765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2020-05-15T09:16:00Z</cp:lastPrinted>
  <dcterms:created xsi:type="dcterms:W3CDTF">2020-05-21T16:06:00Z</dcterms:created>
  <dcterms:modified xsi:type="dcterms:W3CDTF">2020-05-21T16:06:00Z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