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AA0BE" w14:textId="55D991D0" w:rsidR="2A8B679D" w:rsidRDefault="2A8B679D" w:rsidP="00173384">
      <w:pPr>
        <w:pStyle w:val="Heading2"/>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624A90DE" w14:textId="1F946F11" w:rsidR="00903FC6" w:rsidRPr="00903FC6" w:rsidRDefault="0083568A" w:rsidP="2A8B679D">
      <w:pPr>
        <w:pStyle w:val="Heading1"/>
      </w:pPr>
      <w:bookmarkStart w:id="0" w:name="_Toc435777747"/>
      <w:r w:rsidRPr="0083568A">
        <w:t xml:space="preserve">A level </w:t>
      </w:r>
      <w:r w:rsidR="00116746" w:rsidRPr="0083568A">
        <w:t xml:space="preserve">History </w:t>
      </w:r>
      <w:r w:rsidRPr="0083568A">
        <w:t>(</w:t>
      </w:r>
      <w:r w:rsidR="00116746" w:rsidRPr="0083568A">
        <w:t>9HI0</w:t>
      </w:r>
      <w:r w:rsidRPr="0083568A">
        <w:t>)</w:t>
      </w:r>
      <w:r w:rsidR="00903FC6" w:rsidRPr="0083568A">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bookmarkStart w:id="2" w:name="_GoBack"/>
      <w:bookmarkEnd w:id="2"/>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66C3A9BB" w:rsidR="00507FCC" w:rsidRPr="00507FCC" w:rsidRDefault="0083568A" w:rsidP="00903FC6">
      <w:pPr>
        <w:pStyle w:val="ListBullet"/>
      </w:pPr>
      <w:hyperlink r:id="rId12" w:anchor="filterQuery=category:Pearson-UK:Category%2FExam-materials&amp;filterQuery=category:Pearson-UK:Document-Type%2FQuestion-paper" w:history="1">
        <w:r w:rsidR="00507FCC" w:rsidRPr="0083568A">
          <w:rPr>
            <w:rStyle w:val="Hyperlink"/>
            <w:color w:val="0070C0"/>
          </w:rPr>
          <w:t>Past papers</w:t>
        </w:r>
      </w:hyperlink>
      <w:r w:rsidR="00507FCC" w:rsidRPr="0083568A">
        <w:rPr>
          <w:color w:val="0070C0"/>
        </w:rPr>
        <w:t xml:space="preserve">, </w:t>
      </w:r>
      <w:hyperlink r:id="rId13" w:anchor="filterQuery=category:Pearson-UK:Category%2FExam-materials" w:history="1">
        <w:r w:rsidR="00507FCC" w:rsidRPr="0083568A">
          <w:rPr>
            <w:rStyle w:val="Hyperlink"/>
            <w:color w:val="0070C0"/>
          </w:rPr>
          <w:t>mark schemes</w:t>
        </w:r>
      </w:hyperlink>
      <w:r w:rsidR="00507FCC">
        <w:t xml:space="preserve"> and </w:t>
      </w:r>
      <w:hyperlink r:id="rId14" w:history="1">
        <w:r w:rsidR="00507FCC" w:rsidRPr="0083568A">
          <w:rPr>
            <w:rStyle w:val="Hyperlink"/>
            <w:color w:val="0070C0"/>
          </w:rPr>
          <w:t>indicative grade boundaries</w:t>
        </w:r>
      </w:hyperlink>
      <w:r w:rsidR="00507FCC" w:rsidRPr="0083568A">
        <w:rPr>
          <w:color w:val="0070C0"/>
        </w:rPr>
        <w:t xml:space="preserve"> </w:t>
      </w:r>
      <w:r w:rsidR="00507FCC">
        <w:t>are available on our qualification subject pages</w:t>
      </w:r>
    </w:p>
    <w:p w14:paraId="3E3BC482" w14:textId="299A759D" w:rsidR="00903FC6" w:rsidRPr="00E9353B" w:rsidRDefault="002562CC" w:rsidP="00903FC6">
      <w:pPr>
        <w:pStyle w:val="Heading3"/>
      </w:pPr>
      <w:r>
        <w:rPr>
          <w:lang w:val="en-GB" w:eastAsia="en-GB"/>
        </w:rPr>
        <w:t>N</w:t>
      </w:r>
      <w:r w:rsidR="00507FCC">
        <w:rPr>
          <w:lang w:val="en-GB" w:eastAsia="en-GB"/>
        </w:rPr>
        <w:t>on</w:t>
      </w:r>
      <w:r w:rsidR="00DF3552">
        <w:rPr>
          <w:lang w:val="en-GB" w:eastAsia="en-GB"/>
        </w:rPr>
        <w:t>-</w:t>
      </w:r>
      <w:r>
        <w:rPr>
          <w:lang w:val="en-GB" w:eastAsia="en-GB"/>
        </w:rPr>
        <w:t>E</w:t>
      </w:r>
      <w:r w:rsidR="00507FCC">
        <w:rPr>
          <w:lang w:val="en-GB" w:eastAsia="en-GB"/>
        </w:rPr>
        <w:t xml:space="preserve">xamined </w:t>
      </w:r>
      <w:r>
        <w:rPr>
          <w:lang w:val="en-GB" w:eastAsia="en-GB"/>
        </w:rPr>
        <w:t>A</w:t>
      </w:r>
      <w:r w:rsidR="00507FCC">
        <w:rPr>
          <w:lang w:val="en-GB" w:eastAsia="en-GB"/>
        </w:rPr>
        <w:t>ssessment (NEA</w:t>
      </w:r>
    </w:p>
    <w:p w14:paraId="2E8C7989" w14:textId="28A47A77" w:rsidR="00DF3552" w:rsidRPr="00DF3552" w:rsidRDefault="00507FCC" w:rsidP="00507FCC">
      <w:pPr>
        <w:jc w:val="both"/>
        <w:rPr>
          <w:rFonts w:ascii="Open Sans" w:hAnsi="Open Sans" w:cstheme="minorBidi"/>
        </w:rPr>
      </w:pPr>
      <w:r w:rsidRPr="00507FCC">
        <w:rPr>
          <w:rFonts w:ascii="Open Sans" w:hAnsi="Open Sans" w:cstheme="minorBidi"/>
        </w:rPr>
        <w:t xml:space="preserve">You will have seen in the most recent update from JCQ that NEA should not be completed by candidates and </w:t>
      </w:r>
      <w:r w:rsidRPr="00DF3552">
        <w:rPr>
          <w:rFonts w:ascii="Open Sans" w:hAnsi="Open Sans" w:cstheme="minorBidi"/>
        </w:rPr>
        <w:t>schools</w:t>
      </w:r>
      <w:r w:rsidRPr="00507FCC">
        <w:rPr>
          <w:rFonts w:ascii="Open Sans" w:hAnsi="Open Sans" w:cstheme="minorBidi"/>
        </w:rPr>
        <w:t xml:space="preserve"> do not need to send marks to exam boards. </w:t>
      </w:r>
      <w:r w:rsidR="00DF3552" w:rsidRPr="00507FCC">
        <w:rPr>
          <w:rFonts w:ascii="Open Sans" w:hAnsi="Open Sans" w:cstheme="minorBidi"/>
        </w:rPr>
        <w:t xml:space="preserve">If your centre has already submitted marks and/or work to Pearson for NEA components, we will keep these safe and secure until schools are </w:t>
      </w:r>
      <w:r w:rsidR="0019666A" w:rsidRPr="00507FCC">
        <w:rPr>
          <w:rFonts w:ascii="Open Sans" w:hAnsi="Open Sans" w:cstheme="minorBidi"/>
        </w:rPr>
        <w:t>open,</w:t>
      </w:r>
      <w:r w:rsidR="00DF3552" w:rsidRPr="00507FCC">
        <w:rPr>
          <w:rFonts w:ascii="Open Sans" w:hAnsi="Open Sans" w:cstheme="minorBidi"/>
        </w:rPr>
        <w:t xml:space="preserve"> and we can return these to you.</w:t>
      </w:r>
    </w:p>
    <w:p w14:paraId="72B4F711" w14:textId="77777777" w:rsidR="00DF3552" w:rsidRPr="00DF3552" w:rsidRDefault="00DF3552" w:rsidP="00507FCC">
      <w:pPr>
        <w:jc w:val="both"/>
        <w:rPr>
          <w:rFonts w:ascii="Open Sans" w:hAnsi="Open Sans" w:cstheme="minorBidi"/>
        </w:rPr>
      </w:pPr>
    </w:p>
    <w:p w14:paraId="6AA66CAE" w14:textId="10B8C573" w:rsidR="00DF3552" w:rsidRPr="00DF3552" w:rsidRDefault="00507FCC" w:rsidP="56758FD5">
      <w:pPr>
        <w:jc w:val="both"/>
        <w:rPr>
          <w:rFonts w:ascii="Open Sans" w:hAnsi="Open Sans" w:cstheme="minorBidi"/>
        </w:rPr>
      </w:pPr>
      <w:r w:rsidRPr="56758FD5">
        <w:rPr>
          <w:rFonts w:ascii="Open Sans" w:hAnsi="Open Sans" w:cstheme="minorBidi"/>
        </w:rPr>
        <w:t xml:space="preserve">The preparation for and work done </w:t>
      </w:r>
      <w:r w:rsidR="467575A3" w:rsidRPr="56758FD5">
        <w:rPr>
          <w:rFonts w:ascii="Open Sans" w:hAnsi="Open Sans" w:cstheme="minorBidi"/>
        </w:rPr>
        <w:t xml:space="preserve">to date </w:t>
      </w:r>
      <w:r w:rsidRPr="56758FD5">
        <w:rPr>
          <w:rFonts w:ascii="Open Sans" w:hAnsi="Open Sans" w:cstheme="minorBidi"/>
        </w:rPr>
        <w:t xml:space="preserve">on NEA components </w:t>
      </w:r>
      <w:r w:rsidR="00DF3552" w:rsidRPr="56758FD5">
        <w:rPr>
          <w:rFonts w:ascii="Open Sans" w:hAnsi="Open Sans" w:cstheme="minorBidi"/>
        </w:rPr>
        <w:t>will</w:t>
      </w:r>
      <w:r w:rsidRPr="56758FD5">
        <w:rPr>
          <w:rFonts w:ascii="Open Sans" w:hAnsi="Open Sans" w:cstheme="minorBidi"/>
        </w:rPr>
        <w:t xml:space="preserve"> form an important part of how you should derive your </w:t>
      </w:r>
      <w:r w:rsidR="00DF3552" w:rsidRPr="56758FD5">
        <w:rPr>
          <w:rFonts w:ascii="Open Sans" w:hAnsi="Open Sans" w:cstheme="minorBidi"/>
        </w:rPr>
        <w:t>centre assessed grades</w:t>
      </w:r>
      <w:r w:rsidRPr="56758FD5">
        <w:rPr>
          <w:rFonts w:ascii="Open Sans" w:hAnsi="Open Sans" w:cstheme="minorBidi"/>
        </w:rPr>
        <w:t>. Partially and fully completed NEA work will represent good evidence for your estimate of candidate performance on that part of the qualification.</w:t>
      </w:r>
    </w:p>
    <w:p w14:paraId="7076AA7C" w14:textId="77777777" w:rsidR="00DF3552" w:rsidRPr="00DF3552" w:rsidRDefault="00DF3552" w:rsidP="00507FCC">
      <w:pPr>
        <w:jc w:val="both"/>
        <w:rPr>
          <w:rFonts w:ascii="Open Sans" w:hAnsi="Open Sans" w:cstheme="minorBidi"/>
        </w:rPr>
      </w:pPr>
    </w:p>
    <w:p w14:paraId="3B60A295" w14:textId="7F8C1FD0" w:rsidR="00683B7D" w:rsidRPr="00507FCC" w:rsidRDefault="00507FCC" w:rsidP="4E66E24F">
      <w:pPr>
        <w:jc w:val="both"/>
        <w:rPr>
          <w:rFonts w:ascii="Open Sans" w:hAnsi="Open Sans" w:cstheme="minorBidi"/>
        </w:rPr>
      </w:pPr>
      <w:r w:rsidRPr="4E66E24F">
        <w:rPr>
          <w:rFonts w:ascii="Open Sans" w:hAnsi="Open Sans" w:cstheme="minorBidi"/>
        </w:rPr>
        <w:t xml:space="preserve">In some qualifications, where the skills and content assessed by the NEA is similar to the other components, you </w:t>
      </w:r>
      <w:r w:rsidR="00DF3552" w:rsidRPr="4E66E24F">
        <w:rPr>
          <w:rFonts w:ascii="Open Sans" w:hAnsi="Open Sans" w:cstheme="minorBidi"/>
        </w:rPr>
        <w:t xml:space="preserve">may </w:t>
      </w:r>
      <w:r w:rsidRPr="4E66E24F">
        <w:rPr>
          <w:rFonts w:ascii="Open Sans" w:hAnsi="Open Sans" w:cstheme="minorBidi"/>
        </w:rPr>
        <w:t xml:space="preserve">also </w:t>
      </w:r>
      <w:r w:rsidR="00DF3552" w:rsidRPr="4E66E24F">
        <w:rPr>
          <w:rFonts w:ascii="Open Sans" w:hAnsi="Open Sans" w:cstheme="minorBidi"/>
        </w:rPr>
        <w:t xml:space="preserve">be able to </w:t>
      </w:r>
      <w:r w:rsidRPr="4E66E24F">
        <w:rPr>
          <w:rFonts w:ascii="Open Sans" w:hAnsi="Open Sans" w:cstheme="minorBidi"/>
        </w:rPr>
        <w:t xml:space="preserve">use the evidence of candidate performance on the NEA to inform your students’ </w:t>
      </w:r>
      <w:r w:rsidR="00DF3552" w:rsidRPr="4E66E24F">
        <w:rPr>
          <w:rFonts w:ascii="Open Sans" w:hAnsi="Open Sans" w:cstheme="minorBidi"/>
        </w:rPr>
        <w:t>grade</w:t>
      </w:r>
      <w:r w:rsidRPr="4E66E24F">
        <w:rPr>
          <w:rFonts w:ascii="Open Sans" w:hAnsi="Open Sans" w:cstheme="minorBidi"/>
        </w:rPr>
        <w:t xml:space="preserve"> for the qualification as a whole</w:t>
      </w:r>
      <w:r w:rsidR="00DF3552" w:rsidRPr="4E66E24F">
        <w:rPr>
          <w:rFonts w:ascii="Open Sans" w:hAnsi="Open Sans" w:cstheme="minorBidi"/>
        </w:rPr>
        <w:t xml:space="preserve"> (</w:t>
      </w:r>
      <w:r w:rsidRPr="4E66E24F">
        <w:rPr>
          <w:rFonts w:ascii="Open Sans" w:hAnsi="Open Sans" w:cstheme="minorBidi"/>
        </w:rPr>
        <w:t>alongside the other evidence from classwork, homework and mock tests</w:t>
      </w:r>
      <w:r w:rsidR="00DF3552" w:rsidRPr="4E66E24F">
        <w:rPr>
          <w:rFonts w:ascii="Open Sans" w:hAnsi="Open Sans" w:cstheme="minorBidi"/>
        </w:rPr>
        <w:t xml:space="preserve">). </w:t>
      </w:r>
      <w:r w:rsidRPr="4E66E24F">
        <w:rPr>
          <w:rFonts w:ascii="Open Sans" w:hAnsi="Open Sans" w:cstheme="minorBidi"/>
        </w:rPr>
        <w:t xml:space="preserve"> When using NEA to inform </w:t>
      </w:r>
      <w:r w:rsidR="00DF3552" w:rsidRPr="4E66E24F">
        <w:rPr>
          <w:rFonts w:ascii="Open Sans" w:hAnsi="Open Sans" w:cstheme="minorBidi"/>
        </w:rPr>
        <w:t>grades</w:t>
      </w:r>
      <w:r w:rsidR="61977EEB" w:rsidRPr="4E66E24F">
        <w:rPr>
          <w:rFonts w:ascii="Open Sans" w:hAnsi="Open Sans" w:cstheme="minorBidi"/>
        </w:rPr>
        <w:t>,</w:t>
      </w:r>
      <w:r w:rsidRPr="4E66E24F">
        <w:rPr>
          <w:rFonts w:ascii="Open Sans" w:hAnsi="Open Sans" w:cstheme="minorBidi"/>
        </w:rPr>
        <w:t xml:space="preserve"> you should also bear in mind that, in general, candidates tend to do better on NEA than they do in examinations, though of course this is not true of all candidates.</w:t>
      </w:r>
      <w:r w:rsidR="00683B7D">
        <w:rPr>
          <w:rFonts w:ascii="Open Sans" w:hAnsi="Open Sans" w:cstheme="minorBidi"/>
        </w:rPr>
        <w:t xml:space="preserve"> </w:t>
      </w:r>
    </w:p>
    <w:p w14:paraId="0BDD00A2" w14:textId="0FE9F698" w:rsidR="00DF3552" w:rsidRDefault="00DF3552" w:rsidP="00683B7D">
      <w:pPr>
        <w:pStyle w:val="ListBullet"/>
        <w:numPr>
          <w:ilvl w:val="0"/>
          <w:numId w:val="42"/>
        </w:numPr>
        <w:rPr>
          <w:rFonts w:asciiTheme="minorHAnsi" w:hAnsiTheme="minorHAnsi"/>
        </w:rPr>
      </w:pPr>
      <w:r>
        <w:t xml:space="preserve">We have </w:t>
      </w:r>
      <w:hyperlink r:id="rId15" w:anchor="filterQuery=category:Pearson-UK:Category%2FTeaching-and-learning-materials&amp;filterQuery=category:Pearson-UK:Document-Type%2FExemplar-student-material" w:history="1">
        <w:r w:rsidRPr="0083568A">
          <w:rPr>
            <w:rStyle w:val="Hyperlink"/>
            <w:color w:val="0070C0"/>
          </w:rPr>
          <w:t>examples of completed NEA</w:t>
        </w:r>
      </w:hyperlink>
      <w:r w:rsidRPr="0083568A">
        <w:rPr>
          <w:color w:val="0070C0"/>
        </w:rPr>
        <w:t xml:space="preserve"> </w:t>
      </w:r>
      <w:r>
        <w:t>with marks and commentaries available to support you on the subject pages of the Pearson website</w:t>
      </w:r>
      <w:r w:rsidR="44C9935F">
        <w:t xml:space="preserve"> </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7D097383"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83568A">
        <w:rPr>
          <w:color w:val="000000" w:themeColor="text1"/>
          <w:lang w:val="en-GB" w:eastAsia="en-GB"/>
        </w:rPr>
        <w:t>A level</w:t>
      </w:r>
      <w:r w:rsidR="00116746" w:rsidRPr="0083568A">
        <w:rPr>
          <w:color w:val="000000" w:themeColor="text1"/>
          <w:lang w:val="en-GB" w:eastAsia="en-GB"/>
        </w:rPr>
        <w:t xml:space="preserve"> History</w:t>
      </w:r>
      <w:r w:rsidRPr="0083568A">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7D099C6A" w:rsidR="00DF3552" w:rsidRDefault="00DF3552" w:rsidP="00903FC6">
      <w:pPr>
        <w:pStyle w:val="BodyText"/>
        <w:rPr>
          <w:lang w:val="en-GB" w:eastAsia="en-GB"/>
        </w:rPr>
      </w:pPr>
      <w:r w:rsidRPr="56758FD5">
        <w:rPr>
          <w:lang w:val="en-GB" w:eastAsia="en-GB"/>
        </w:rPr>
        <w:t>We have provided three descriptions for grade</w:t>
      </w:r>
      <w:r w:rsidR="00116746">
        <w:rPr>
          <w:lang w:val="en-GB" w:eastAsia="en-GB"/>
        </w:rPr>
        <w:t xml:space="preserve"> C</w:t>
      </w:r>
      <w:r w:rsidRPr="56758FD5">
        <w:rPr>
          <w:lang w:val="en-GB" w:eastAsia="en-GB"/>
        </w:rPr>
        <w:t xml:space="preserve">, highlighting characteristics of students who are high achieving within the grade, securely with the grade and those who have only just achieved the grade. </w:t>
      </w:r>
      <w:bookmarkStart w:id="3" w:name="_Hlk40066275"/>
      <w:r w:rsidR="00116746" w:rsidRPr="0083568A">
        <w:rPr>
          <w:color w:val="000000" w:themeColor="text1"/>
          <w:lang w:val="en-GB" w:eastAsia="en-GB"/>
        </w:rPr>
        <w:t>Two description</w:t>
      </w:r>
      <w:r w:rsidR="00683B7D" w:rsidRPr="0083568A">
        <w:rPr>
          <w:color w:val="000000" w:themeColor="text1"/>
          <w:lang w:val="en-GB" w:eastAsia="en-GB"/>
        </w:rPr>
        <w:t>s</w:t>
      </w:r>
      <w:r w:rsidR="00116746" w:rsidRPr="0083568A">
        <w:rPr>
          <w:color w:val="000000" w:themeColor="text1"/>
          <w:lang w:val="en-GB" w:eastAsia="en-GB"/>
        </w:rPr>
        <w:t xml:space="preserve"> are provided for grade A where the mark band is narrower. </w:t>
      </w:r>
      <w:bookmarkEnd w:id="3"/>
      <w:r w:rsidRPr="56758FD5">
        <w:rPr>
          <w:lang w:val="en-GB" w:eastAsia="en-GB"/>
        </w:rPr>
        <w:t>This will enable you to start to place students within grades and also allow you to start the process of rank ordering your students.</w:t>
      </w:r>
    </w:p>
    <w:p w14:paraId="7C90D766" w14:textId="3E441045" w:rsidR="002562CC" w:rsidRDefault="002562CC" w:rsidP="00DF3552">
      <w:pPr>
        <w:pStyle w:val="ListBullet"/>
        <w:numPr>
          <w:ilvl w:val="0"/>
          <w:numId w:val="0"/>
        </w:numPr>
      </w:pPr>
    </w:p>
    <w:p w14:paraId="0B53B792" w14:textId="6A68BE30" w:rsidR="00DE4531" w:rsidRDefault="0083568A" w:rsidP="2A8B679D">
      <w:pPr>
        <w:pStyle w:val="Heading3"/>
      </w:pPr>
      <w:r w:rsidRPr="0083568A">
        <w:rPr>
          <w:lang w:val="en-GB" w:eastAsia="en-GB"/>
        </w:rPr>
        <w:lastRenderedPageBreak/>
        <w:t>A level</w:t>
      </w:r>
      <w:r w:rsidR="00116746" w:rsidRPr="0083568A">
        <w:rPr>
          <w:lang w:val="en-GB" w:eastAsia="en-GB"/>
        </w:rPr>
        <w:t xml:space="preserve"> History </w:t>
      </w:r>
      <w:r w:rsidR="00DE4531" w:rsidRPr="0083568A">
        <w:rPr>
          <w:lang w:val="en-GB" w:eastAsia="en-GB"/>
        </w:rPr>
        <w:t xml:space="preserve"> </w:t>
      </w:r>
      <w:r w:rsidR="00DE4531" w:rsidRPr="56758FD5">
        <w:rPr>
          <w:lang w:val="en-GB" w:eastAsia="en-GB"/>
        </w:rPr>
        <w:t xml:space="preserve">- Grade A </w:t>
      </w:r>
      <w:r w:rsidR="29961BD0"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14:paraId="57B891B6" w14:textId="77777777" w:rsidTr="00904C86">
        <w:tc>
          <w:tcPr>
            <w:tcW w:w="2048" w:type="dxa"/>
          </w:tcPr>
          <w:p w14:paraId="25B61895" w14:textId="19154B90" w:rsidR="00DE4531" w:rsidRPr="0083568A" w:rsidRDefault="00DE4531" w:rsidP="00904C86">
            <w:pPr>
              <w:pStyle w:val="ListBullet"/>
              <w:numPr>
                <w:ilvl w:val="0"/>
                <w:numId w:val="0"/>
              </w:numPr>
              <w:rPr>
                <w:b/>
                <w:bCs/>
                <w:lang w:val="en-GB" w:eastAsia="en-GB"/>
              </w:rPr>
            </w:pPr>
            <w:r w:rsidRPr="0083568A">
              <w:rPr>
                <w:b/>
                <w:bCs/>
                <w:lang w:val="en-GB" w:eastAsia="en-GB"/>
              </w:rPr>
              <w:t>Grade A</w:t>
            </w:r>
          </w:p>
          <w:p w14:paraId="55D9DCFA" w14:textId="67DD730A" w:rsidR="00DE4531" w:rsidRPr="00DE4531" w:rsidRDefault="006D106C" w:rsidP="00904C86">
            <w:pPr>
              <w:pStyle w:val="ListBullet"/>
              <w:numPr>
                <w:ilvl w:val="0"/>
                <w:numId w:val="0"/>
              </w:numPr>
              <w:rPr>
                <w:lang w:val="en-GB" w:eastAsia="en-GB"/>
              </w:rPr>
            </w:pPr>
            <w:r w:rsidRPr="0083568A">
              <w:rPr>
                <w:b/>
                <w:bCs/>
                <w:lang w:val="en-GB" w:eastAsia="en-GB"/>
              </w:rPr>
              <w:t>Most secure students</w:t>
            </w:r>
          </w:p>
        </w:tc>
        <w:tc>
          <w:tcPr>
            <w:tcW w:w="7897" w:type="dxa"/>
          </w:tcPr>
          <w:p w14:paraId="56BE5786" w14:textId="77777777" w:rsidR="00CC484E" w:rsidRDefault="00CC484E" w:rsidP="00CC484E">
            <w:pPr>
              <w:pStyle w:val="ListParagraph"/>
              <w:autoSpaceDE w:val="0"/>
              <w:autoSpaceDN w:val="0"/>
              <w:adjustRightInd w:val="0"/>
              <w:rPr>
                <w:rFonts w:ascii="Verdana" w:hAnsi="Verdana" w:cs="Verdana"/>
                <w:sz w:val="20"/>
                <w:szCs w:val="20"/>
              </w:rPr>
            </w:pPr>
          </w:p>
          <w:p w14:paraId="64EA5B8C" w14:textId="1B81C0FB" w:rsidR="00CC484E" w:rsidRPr="0083568A" w:rsidRDefault="00CC484E" w:rsidP="00CC484E">
            <w:pPr>
              <w:pStyle w:val="ListParagraph"/>
              <w:numPr>
                <w:ilvl w:val="0"/>
                <w:numId w:val="44"/>
              </w:numPr>
              <w:autoSpaceDE w:val="0"/>
              <w:autoSpaceDN w:val="0"/>
              <w:adjustRightInd w:val="0"/>
              <w:rPr>
                <w:color w:val="auto"/>
              </w:rPr>
            </w:pPr>
            <w:r w:rsidRPr="0083568A">
              <w:rPr>
                <w:color w:val="auto"/>
              </w:rPr>
              <w:t>Key issues relevant to the question are explored by a sustained analysis of the relationships between key features of the period</w:t>
            </w:r>
            <w:r w:rsidR="0083568A">
              <w:rPr>
                <w:color w:val="auto"/>
              </w:rPr>
              <w:t>.</w:t>
            </w:r>
          </w:p>
          <w:p w14:paraId="0DC6E952" w14:textId="77777777" w:rsidR="00CC484E" w:rsidRPr="0083568A" w:rsidRDefault="00CC484E" w:rsidP="00CC484E">
            <w:pPr>
              <w:pStyle w:val="ListParagraph"/>
              <w:autoSpaceDE w:val="0"/>
              <w:autoSpaceDN w:val="0"/>
              <w:adjustRightInd w:val="0"/>
              <w:rPr>
                <w:color w:val="auto"/>
              </w:rPr>
            </w:pPr>
          </w:p>
          <w:p w14:paraId="22F1B200" w14:textId="5BD513CE" w:rsidR="00CC484E" w:rsidRPr="0083568A" w:rsidRDefault="00CC484E" w:rsidP="00CC484E">
            <w:pPr>
              <w:pStyle w:val="ListParagraph"/>
              <w:numPr>
                <w:ilvl w:val="0"/>
                <w:numId w:val="44"/>
              </w:numPr>
              <w:autoSpaceDE w:val="0"/>
              <w:autoSpaceDN w:val="0"/>
              <w:adjustRightInd w:val="0"/>
              <w:rPr>
                <w:color w:val="auto"/>
              </w:rPr>
            </w:pPr>
            <w:r w:rsidRPr="0083568A">
              <w:rPr>
                <w:color w:val="auto"/>
              </w:rPr>
              <w:t>Understanding of the source material and extracts is demonstrated, interrogating them to make reasoned inferences and to explore the issues of interpretation they raise</w:t>
            </w:r>
            <w:r w:rsidR="0083568A">
              <w:rPr>
                <w:color w:val="auto"/>
              </w:rPr>
              <w:t>.</w:t>
            </w:r>
          </w:p>
          <w:p w14:paraId="2D468138" w14:textId="77777777" w:rsidR="00CC484E" w:rsidRPr="0083568A" w:rsidRDefault="00CC484E" w:rsidP="00CC484E">
            <w:pPr>
              <w:pStyle w:val="ListParagraph"/>
              <w:autoSpaceDE w:val="0"/>
              <w:autoSpaceDN w:val="0"/>
              <w:adjustRightInd w:val="0"/>
              <w:rPr>
                <w:color w:val="auto"/>
              </w:rPr>
            </w:pPr>
          </w:p>
          <w:p w14:paraId="2F85BCED" w14:textId="287BE702" w:rsidR="00CC484E" w:rsidRPr="0083568A" w:rsidRDefault="00CC484E" w:rsidP="00120C8E">
            <w:pPr>
              <w:pStyle w:val="ListParagraph"/>
              <w:numPr>
                <w:ilvl w:val="0"/>
                <w:numId w:val="44"/>
              </w:numPr>
              <w:autoSpaceDE w:val="0"/>
              <w:autoSpaceDN w:val="0"/>
              <w:adjustRightInd w:val="0"/>
              <w:rPr>
                <w:color w:val="auto"/>
              </w:rPr>
            </w:pPr>
            <w:r w:rsidRPr="0083568A">
              <w:rPr>
                <w:color w:val="auto"/>
              </w:rPr>
              <w:t xml:space="preserve">Sufficient knowledge is deployed to demonstrate understanding of the conceptual focus of an essay question and to meet its demands. Knowledge of relevant issues </w:t>
            </w:r>
            <w:r w:rsidR="009C191E" w:rsidRPr="0083568A">
              <w:rPr>
                <w:color w:val="auto"/>
              </w:rPr>
              <w:t>i</w:t>
            </w:r>
            <w:r w:rsidRPr="0083568A">
              <w:rPr>
                <w:color w:val="auto"/>
              </w:rPr>
              <w:t>s deployed to illuminate and evaluate the sources in the context of some contemporary values</w:t>
            </w:r>
            <w:r w:rsidR="009C191E" w:rsidRPr="0083568A">
              <w:rPr>
                <w:color w:val="auto"/>
              </w:rPr>
              <w:t xml:space="preserve"> and is integrated to discuss views in the extracts</w:t>
            </w:r>
            <w:r w:rsidR="0083568A">
              <w:rPr>
                <w:color w:val="auto"/>
              </w:rPr>
              <w:t>.</w:t>
            </w:r>
          </w:p>
          <w:p w14:paraId="2C400828" w14:textId="77777777" w:rsidR="00CC484E" w:rsidRPr="0083568A" w:rsidRDefault="00CC484E" w:rsidP="00CC484E">
            <w:pPr>
              <w:pStyle w:val="ListParagraph"/>
              <w:autoSpaceDE w:val="0"/>
              <w:autoSpaceDN w:val="0"/>
              <w:adjustRightInd w:val="0"/>
              <w:rPr>
                <w:color w:val="auto"/>
              </w:rPr>
            </w:pPr>
          </w:p>
          <w:p w14:paraId="1C1FFD53" w14:textId="05C965EA" w:rsidR="00CC484E" w:rsidRPr="0083568A" w:rsidRDefault="00CC484E" w:rsidP="00496D37">
            <w:pPr>
              <w:pStyle w:val="ListParagraph"/>
              <w:numPr>
                <w:ilvl w:val="0"/>
                <w:numId w:val="44"/>
              </w:numPr>
              <w:autoSpaceDE w:val="0"/>
              <w:autoSpaceDN w:val="0"/>
              <w:adjustRightInd w:val="0"/>
              <w:rPr>
                <w:color w:val="auto"/>
              </w:rPr>
            </w:pPr>
            <w:r w:rsidRPr="0083568A">
              <w:rPr>
                <w:color w:val="auto"/>
              </w:rPr>
              <w:t>Valid criteria by which the question can be judged are established and applied in the process of making judgements, most of which are substantiated.</w:t>
            </w:r>
          </w:p>
          <w:p w14:paraId="428FA7AA" w14:textId="77777777" w:rsidR="00CC484E" w:rsidRPr="0083568A" w:rsidRDefault="00CC484E" w:rsidP="00CC484E">
            <w:pPr>
              <w:pStyle w:val="ListParagraph"/>
              <w:autoSpaceDE w:val="0"/>
              <w:autoSpaceDN w:val="0"/>
              <w:adjustRightInd w:val="0"/>
              <w:rPr>
                <w:color w:val="auto"/>
              </w:rPr>
            </w:pPr>
          </w:p>
          <w:p w14:paraId="6E1002EF" w14:textId="6A5B4DEB" w:rsidR="00CC484E" w:rsidRPr="0083568A" w:rsidRDefault="00CC484E" w:rsidP="00965C0B">
            <w:pPr>
              <w:pStyle w:val="ListParagraph"/>
              <w:numPr>
                <w:ilvl w:val="0"/>
                <w:numId w:val="44"/>
              </w:numPr>
              <w:autoSpaceDE w:val="0"/>
              <w:autoSpaceDN w:val="0"/>
              <w:adjustRightInd w:val="0"/>
              <w:rPr>
                <w:color w:val="auto"/>
              </w:rPr>
            </w:pPr>
            <w:r w:rsidRPr="0083568A">
              <w:rPr>
                <w:color w:val="auto"/>
              </w:rPr>
              <w:t>The answer is generally well organised and coherent. The argument is logical and is communicated with clarity, although in a few places it may lack precision.</w:t>
            </w:r>
          </w:p>
          <w:p w14:paraId="21FF3C49" w14:textId="6AFAEF4D" w:rsidR="00DE4531" w:rsidRPr="00CC484E" w:rsidRDefault="00DE4531" w:rsidP="00CC484E">
            <w:pPr>
              <w:pStyle w:val="ListParagraph"/>
              <w:autoSpaceDE w:val="0"/>
              <w:autoSpaceDN w:val="0"/>
              <w:adjustRightInd w:val="0"/>
              <w:rPr>
                <w:rFonts w:ascii="Verdana" w:hAnsi="Verdana" w:cs="Verdana"/>
                <w:sz w:val="20"/>
                <w:szCs w:val="20"/>
              </w:rPr>
            </w:pPr>
          </w:p>
        </w:tc>
      </w:tr>
      <w:tr w:rsidR="00DE4531" w14:paraId="5D3488EE" w14:textId="77777777" w:rsidTr="00904C86">
        <w:tc>
          <w:tcPr>
            <w:tcW w:w="2048" w:type="dxa"/>
          </w:tcPr>
          <w:p w14:paraId="276E83FB" w14:textId="661DEF42" w:rsidR="00DE4531" w:rsidRPr="0083568A" w:rsidRDefault="00DE4531" w:rsidP="00904C86">
            <w:pPr>
              <w:pStyle w:val="ListBullet"/>
              <w:numPr>
                <w:ilvl w:val="0"/>
                <w:numId w:val="0"/>
              </w:numPr>
              <w:rPr>
                <w:b/>
                <w:bCs/>
                <w:lang w:val="en-GB" w:eastAsia="en-GB"/>
              </w:rPr>
            </w:pPr>
            <w:r w:rsidRPr="0083568A">
              <w:rPr>
                <w:b/>
                <w:bCs/>
                <w:lang w:val="en-GB" w:eastAsia="en-GB"/>
              </w:rPr>
              <w:t>Grade A</w:t>
            </w:r>
          </w:p>
          <w:p w14:paraId="55C9EDA7" w14:textId="2B44C3F9" w:rsidR="00DE4531" w:rsidRPr="00DE4531" w:rsidRDefault="006D106C" w:rsidP="00904C86">
            <w:pPr>
              <w:pStyle w:val="ListBullet"/>
              <w:numPr>
                <w:ilvl w:val="0"/>
                <w:numId w:val="0"/>
              </w:numPr>
              <w:rPr>
                <w:lang w:val="en-GB" w:eastAsia="en-GB"/>
              </w:rPr>
            </w:pPr>
            <w:r w:rsidRPr="0083568A">
              <w:rPr>
                <w:b/>
                <w:bCs/>
                <w:lang w:val="en-GB" w:eastAsia="en-GB"/>
              </w:rPr>
              <w:t>Borderline students</w:t>
            </w:r>
          </w:p>
        </w:tc>
        <w:tc>
          <w:tcPr>
            <w:tcW w:w="7897" w:type="dxa"/>
          </w:tcPr>
          <w:p w14:paraId="293CD814" w14:textId="63A21F40" w:rsidR="00CC484E" w:rsidRPr="0083568A" w:rsidRDefault="00CC484E" w:rsidP="006A3D8C">
            <w:pPr>
              <w:pStyle w:val="ListParagraph"/>
              <w:numPr>
                <w:ilvl w:val="0"/>
                <w:numId w:val="44"/>
              </w:numPr>
              <w:autoSpaceDE w:val="0"/>
              <w:autoSpaceDN w:val="0"/>
              <w:adjustRightInd w:val="0"/>
              <w:rPr>
                <w:color w:val="auto"/>
              </w:rPr>
            </w:pPr>
            <w:r w:rsidRPr="0083568A">
              <w:rPr>
                <w:color w:val="auto"/>
              </w:rPr>
              <w:t>Key issues relevant to the question are explored by a</w:t>
            </w:r>
            <w:r w:rsidR="009B10BF" w:rsidRPr="0083568A">
              <w:rPr>
                <w:color w:val="auto"/>
              </w:rPr>
              <w:t>n</w:t>
            </w:r>
            <w:r w:rsidRPr="0083568A">
              <w:rPr>
                <w:color w:val="auto"/>
              </w:rPr>
              <w:t xml:space="preserve"> analysis of most of the </w:t>
            </w:r>
            <w:r w:rsidR="00433B1D" w:rsidRPr="0083568A">
              <w:rPr>
                <w:color w:val="auto"/>
              </w:rPr>
              <w:t>relevant relationships</w:t>
            </w:r>
            <w:r w:rsidRPr="0083568A">
              <w:rPr>
                <w:color w:val="auto"/>
              </w:rPr>
              <w:t xml:space="preserve"> between key features of the period.</w:t>
            </w:r>
          </w:p>
          <w:p w14:paraId="39492DD0" w14:textId="77777777" w:rsidR="00604E06" w:rsidRPr="0083568A" w:rsidRDefault="00604E06" w:rsidP="0083568A">
            <w:pPr>
              <w:pStyle w:val="ListParagraph"/>
              <w:autoSpaceDE w:val="0"/>
              <w:autoSpaceDN w:val="0"/>
              <w:adjustRightInd w:val="0"/>
              <w:rPr>
                <w:color w:val="auto"/>
              </w:rPr>
            </w:pPr>
          </w:p>
          <w:p w14:paraId="16DBA336" w14:textId="77777777" w:rsidR="00604E06" w:rsidRPr="0083568A" w:rsidRDefault="00CC484E" w:rsidP="0083568A">
            <w:pPr>
              <w:pStyle w:val="ListParagraph"/>
              <w:numPr>
                <w:ilvl w:val="0"/>
                <w:numId w:val="44"/>
              </w:numPr>
              <w:autoSpaceDE w:val="0"/>
              <w:autoSpaceDN w:val="0"/>
              <w:adjustRightInd w:val="0"/>
              <w:rPr>
                <w:color w:val="auto"/>
              </w:rPr>
            </w:pPr>
            <w:r w:rsidRPr="0083568A">
              <w:rPr>
                <w:color w:val="auto"/>
              </w:rPr>
              <w:t xml:space="preserve">Understanding of the source material and extracts in demonstrated, </w:t>
            </w:r>
            <w:r w:rsidR="00433B1D" w:rsidRPr="0083568A">
              <w:rPr>
                <w:color w:val="auto"/>
              </w:rPr>
              <w:t>analysing them to</w:t>
            </w:r>
            <w:r w:rsidRPr="0083568A">
              <w:rPr>
                <w:color w:val="auto"/>
              </w:rPr>
              <w:t xml:space="preserve"> make reasoned inferences and to explore the issues of interpretation they raise.</w:t>
            </w:r>
          </w:p>
          <w:p w14:paraId="1E3A3E3A" w14:textId="17EA8875" w:rsidR="00CC484E" w:rsidRPr="0083568A" w:rsidRDefault="00CC484E" w:rsidP="0083568A">
            <w:pPr>
              <w:pStyle w:val="ListParagraph"/>
              <w:autoSpaceDE w:val="0"/>
              <w:autoSpaceDN w:val="0"/>
              <w:adjustRightInd w:val="0"/>
              <w:rPr>
                <w:color w:val="auto"/>
              </w:rPr>
            </w:pPr>
          </w:p>
          <w:p w14:paraId="1C53EDA1" w14:textId="100FC5FA" w:rsidR="00CC484E" w:rsidRPr="0083568A" w:rsidRDefault="00CC484E" w:rsidP="007A0478">
            <w:pPr>
              <w:pStyle w:val="ListParagraph"/>
              <w:numPr>
                <w:ilvl w:val="0"/>
                <w:numId w:val="44"/>
              </w:numPr>
              <w:autoSpaceDE w:val="0"/>
              <w:autoSpaceDN w:val="0"/>
              <w:adjustRightInd w:val="0"/>
              <w:rPr>
                <w:color w:val="auto"/>
              </w:rPr>
            </w:pPr>
            <w:r w:rsidRPr="0083568A">
              <w:rPr>
                <w:color w:val="auto"/>
              </w:rPr>
              <w:t xml:space="preserve">Sufficient knowledge is deployed to demonstrate understanding of the conceptual focus of an essay question and to meet most of its demands. Knowledge of relevant issues is deployed to illuminate and evaluate the sources, although treatment of some aspects may lack depth.  </w:t>
            </w:r>
            <w:r w:rsidR="009B10BF" w:rsidRPr="0083568A">
              <w:rPr>
                <w:color w:val="auto"/>
              </w:rPr>
              <w:t>Knowledge is integrated to discuss views in the extracts</w:t>
            </w:r>
            <w:r w:rsidR="0083568A">
              <w:rPr>
                <w:color w:val="auto"/>
              </w:rPr>
              <w:t>.</w:t>
            </w:r>
          </w:p>
          <w:p w14:paraId="42F0F1B2" w14:textId="77777777" w:rsidR="00604E06" w:rsidRPr="0083568A" w:rsidRDefault="00604E06" w:rsidP="0083568A">
            <w:pPr>
              <w:pStyle w:val="ListParagraph"/>
              <w:autoSpaceDE w:val="0"/>
              <w:autoSpaceDN w:val="0"/>
              <w:adjustRightInd w:val="0"/>
              <w:rPr>
                <w:color w:val="auto"/>
              </w:rPr>
            </w:pPr>
          </w:p>
          <w:p w14:paraId="63990293" w14:textId="30750EDC" w:rsidR="00CC484E" w:rsidRPr="0083568A" w:rsidRDefault="00CC484E" w:rsidP="0083568A">
            <w:pPr>
              <w:pStyle w:val="ListParagraph"/>
              <w:numPr>
                <w:ilvl w:val="0"/>
                <w:numId w:val="44"/>
              </w:numPr>
              <w:autoSpaceDE w:val="0"/>
              <w:autoSpaceDN w:val="0"/>
              <w:adjustRightInd w:val="0"/>
              <w:rPr>
                <w:color w:val="auto"/>
              </w:rPr>
            </w:pPr>
            <w:r w:rsidRPr="0083568A">
              <w:rPr>
                <w:color w:val="auto"/>
              </w:rPr>
              <w:t>Valid criteria for judgments are established and applied. Although some of the evaluations may be only partly substantiated, the overall judgement is supported.</w:t>
            </w:r>
          </w:p>
          <w:p w14:paraId="15C7EC8F" w14:textId="77777777" w:rsidR="00604E06" w:rsidRPr="0083568A" w:rsidRDefault="00604E06" w:rsidP="0083568A">
            <w:pPr>
              <w:pStyle w:val="ListParagraph"/>
              <w:autoSpaceDE w:val="0"/>
              <w:autoSpaceDN w:val="0"/>
              <w:adjustRightInd w:val="0"/>
              <w:rPr>
                <w:color w:val="auto"/>
              </w:rPr>
            </w:pPr>
          </w:p>
          <w:p w14:paraId="50D7B0BD" w14:textId="5AC93DD9" w:rsidR="00CC484E" w:rsidRPr="0083568A" w:rsidRDefault="00CC484E" w:rsidP="0083568A">
            <w:pPr>
              <w:pStyle w:val="ListParagraph"/>
              <w:numPr>
                <w:ilvl w:val="0"/>
                <w:numId w:val="44"/>
              </w:numPr>
              <w:autoSpaceDE w:val="0"/>
              <w:autoSpaceDN w:val="0"/>
              <w:adjustRightInd w:val="0"/>
              <w:rPr>
                <w:color w:val="auto"/>
              </w:rPr>
            </w:pPr>
            <w:r w:rsidRPr="0083568A">
              <w:rPr>
                <w:color w:val="auto"/>
              </w:rPr>
              <w:t>The answer is generally well organised. The argument is communicated with clarity, although in a few places it may lack coherence and precision.</w:t>
            </w:r>
          </w:p>
          <w:p w14:paraId="3EAF1139" w14:textId="37BB56CF" w:rsidR="00DE4531" w:rsidRDefault="00DE4531" w:rsidP="00904C86">
            <w:pPr>
              <w:pStyle w:val="ListBullet"/>
              <w:numPr>
                <w:ilvl w:val="0"/>
                <w:numId w:val="0"/>
              </w:numPr>
            </w:pPr>
          </w:p>
        </w:tc>
      </w:tr>
    </w:tbl>
    <w:p w14:paraId="3CC4DD22" w14:textId="4375E867" w:rsidR="00DE4531" w:rsidRDefault="00DE4531" w:rsidP="002562CC">
      <w:pPr>
        <w:pStyle w:val="ListBullet"/>
        <w:numPr>
          <w:ilvl w:val="0"/>
          <w:numId w:val="0"/>
        </w:numPr>
        <w:ind w:left="357" w:hanging="357"/>
      </w:pPr>
    </w:p>
    <w:p w14:paraId="7C0DB68F" w14:textId="767D7787" w:rsidR="00DE4531" w:rsidRDefault="0083568A" w:rsidP="2A8B679D">
      <w:pPr>
        <w:pStyle w:val="Heading3"/>
      </w:pPr>
      <w:r w:rsidRPr="0083568A">
        <w:rPr>
          <w:lang w:val="en-GB" w:eastAsia="en-GB"/>
        </w:rPr>
        <w:lastRenderedPageBreak/>
        <w:t xml:space="preserve">A level History  </w:t>
      </w:r>
      <w:r w:rsidR="00DE4531" w:rsidRPr="56758FD5">
        <w:rPr>
          <w:lang w:val="en-GB" w:eastAsia="en-GB"/>
        </w:rPr>
        <w:t xml:space="preserve">- Grade C </w:t>
      </w:r>
      <w:r w:rsidR="141B8258"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14:paraId="711F9C9C" w14:textId="77777777" w:rsidTr="00904C86">
        <w:tc>
          <w:tcPr>
            <w:tcW w:w="2048" w:type="dxa"/>
          </w:tcPr>
          <w:p w14:paraId="35217560" w14:textId="648D1A43" w:rsidR="00DE4531" w:rsidRPr="0083568A" w:rsidRDefault="00DE4531" w:rsidP="00904C86">
            <w:pPr>
              <w:pStyle w:val="ListBullet"/>
              <w:numPr>
                <w:ilvl w:val="0"/>
                <w:numId w:val="0"/>
              </w:numPr>
              <w:rPr>
                <w:b/>
                <w:bCs/>
                <w:lang w:val="en-GB" w:eastAsia="en-GB"/>
              </w:rPr>
            </w:pPr>
            <w:r w:rsidRPr="0083568A">
              <w:rPr>
                <w:b/>
                <w:bCs/>
                <w:lang w:val="en-GB" w:eastAsia="en-GB"/>
              </w:rPr>
              <w:t>Grade C</w:t>
            </w:r>
          </w:p>
          <w:p w14:paraId="5FA0AD3A" w14:textId="289726F4" w:rsidR="00DE4531" w:rsidRPr="00DE4531" w:rsidRDefault="006D106C" w:rsidP="00904C86">
            <w:pPr>
              <w:pStyle w:val="ListBullet"/>
              <w:numPr>
                <w:ilvl w:val="0"/>
                <w:numId w:val="0"/>
              </w:numPr>
              <w:rPr>
                <w:lang w:val="en-GB" w:eastAsia="en-GB"/>
              </w:rPr>
            </w:pPr>
            <w:r w:rsidRPr="0083568A">
              <w:rPr>
                <w:b/>
                <w:bCs/>
                <w:lang w:val="en-GB" w:eastAsia="en-GB"/>
              </w:rPr>
              <w:t>Most secure students</w:t>
            </w:r>
          </w:p>
        </w:tc>
        <w:tc>
          <w:tcPr>
            <w:tcW w:w="7897" w:type="dxa"/>
          </w:tcPr>
          <w:p w14:paraId="67C78ECC" w14:textId="06BEE48F" w:rsidR="00604E06" w:rsidRPr="0083568A" w:rsidRDefault="00604E06" w:rsidP="0083568A">
            <w:pPr>
              <w:pStyle w:val="ListParagraph"/>
              <w:numPr>
                <w:ilvl w:val="0"/>
                <w:numId w:val="44"/>
              </w:numPr>
              <w:autoSpaceDE w:val="0"/>
              <w:autoSpaceDN w:val="0"/>
              <w:adjustRightInd w:val="0"/>
              <w:rPr>
                <w:color w:val="auto"/>
              </w:rPr>
            </w:pPr>
            <w:r w:rsidRPr="0083568A">
              <w:rPr>
                <w:color w:val="auto"/>
              </w:rPr>
              <w:t xml:space="preserve">Key issues relevant to the question are explored by an analysis of </w:t>
            </w:r>
            <w:r w:rsidRPr="0083568A">
              <w:t>relationships between key features of the period, although treatment of issues may be uneven.</w:t>
            </w:r>
          </w:p>
          <w:p w14:paraId="50FBF4FB" w14:textId="77777777" w:rsidR="00604E06" w:rsidRPr="0083568A" w:rsidRDefault="00604E06" w:rsidP="0083568A">
            <w:pPr>
              <w:pStyle w:val="ListParagraph"/>
              <w:autoSpaceDE w:val="0"/>
              <w:autoSpaceDN w:val="0"/>
              <w:adjustRightInd w:val="0"/>
              <w:rPr>
                <w:color w:val="auto"/>
              </w:rPr>
            </w:pPr>
          </w:p>
          <w:p w14:paraId="6DBE241D" w14:textId="7C61105D" w:rsidR="00604E06" w:rsidRPr="0083568A" w:rsidRDefault="00B27D0E" w:rsidP="0083568A">
            <w:pPr>
              <w:pStyle w:val="ListParagraph"/>
              <w:numPr>
                <w:ilvl w:val="0"/>
                <w:numId w:val="44"/>
              </w:numPr>
              <w:autoSpaceDE w:val="0"/>
              <w:autoSpaceDN w:val="0"/>
              <w:adjustRightInd w:val="0"/>
              <w:rPr>
                <w:color w:val="auto"/>
              </w:rPr>
            </w:pPr>
            <w:r w:rsidRPr="0083568A">
              <w:rPr>
                <w:color w:val="auto"/>
              </w:rPr>
              <w:t>U</w:t>
            </w:r>
            <w:r w:rsidR="00604E06" w:rsidRPr="0083568A">
              <w:rPr>
                <w:color w:val="auto"/>
              </w:rPr>
              <w:t>nderstanding of the source material and extracts</w:t>
            </w:r>
            <w:r w:rsidRPr="0083568A">
              <w:rPr>
                <w:color w:val="auto"/>
              </w:rPr>
              <w:t xml:space="preserve"> is demonstrated</w:t>
            </w:r>
            <w:r w:rsidR="00604E06" w:rsidRPr="0083568A">
              <w:rPr>
                <w:color w:val="auto"/>
              </w:rPr>
              <w:t>, analysing them to support inferences and show issues of interpretation raised within them</w:t>
            </w:r>
            <w:r w:rsidR="0019666A">
              <w:rPr>
                <w:color w:val="auto"/>
              </w:rPr>
              <w:t>.</w:t>
            </w:r>
          </w:p>
          <w:p w14:paraId="327C5DFA" w14:textId="77777777" w:rsidR="00604E06" w:rsidRPr="0083568A" w:rsidRDefault="00604E06" w:rsidP="0083568A">
            <w:pPr>
              <w:pStyle w:val="ListParagraph"/>
              <w:autoSpaceDE w:val="0"/>
              <w:autoSpaceDN w:val="0"/>
              <w:adjustRightInd w:val="0"/>
              <w:rPr>
                <w:color w:val="auto"/>
              </w:rPr>
            </w:pPr>
          </w:p>
          <w:p w14:paraId="56291F20" w14:textId="5288EC72" w:rsidR="00604E06" w:rsidRPr="0083568A" w:rsidRDefault="00604E06" w:rsidP="0083568A">
            <w:pPr>
              <w:pStyle w:val="ListParagraph"/>
              <w:numPr>
                <w:ilvl w:val="0"/>
                <w:numId w:val="44"/>
              </w:numPr>
              <w:autoSpaceDE w:val="0"/>
              <w:autoSpaceDN w:val="0"/>
              <w:adjustRightInd w:val="0"/>
              <w:rPr>
                <w:color w:val="auto"/>
              </w:rPr>
            </w:pPr>
            <w:r w:rsidRPr="0083568A">
              <w:rPr>
                <w:color w:val="auto"/>
              </w:rPr>
              <w:t>Sufficient knowledge is included to demonstrate understanding of the conceptual focus of an essay question, but the material lacks range or depth. Contextual knowledge is linked to sources and extracts to explain inferences and expand on issues of debate.</w:t>
            </w:r>
          </w:p>
          <w:p w14:paraId="20DDD184" w14:textId="77777777" w:rsidR="00604E06" w:rsidRPr="0083568A" w:rsidRDefault="00604E06" w:rsidP="0083568A">
            <w:pPr>
              <w:pStyle w:val="ListParagraph"/>
              <w:autoSpaceDE w:val="0"/>
              <w:autoSpaceDN w:val="0"/>
              <w:adjustRightInd w:val="0"/>
              <w:rPr>
                <w:color w:val="auto"/>
              </w:rPr>
            </w:pPr>
          </w:p>
          <w:p w14:paraId="029C04B7" w14:textId="454AF881" w:rsidR="00604E06" w:rsidRPr="0083568A" w:rsidRDefault="00604E06" w:rsidP="0083568A">
            <w:pPr>
              <w:pStyle w:val="ListParagraph"/>
              <w:numPr>
                <w:ilvl w:val="0"/>
                <w:numId w:val="44"/>
              </w:numPr>
              <w:autoSpaceDE w:val="0"/>
              <w:autoSpaceDN w:val="0"/>
              <w:adjustRightInd w:val="0"/>
              <w:rPr>
                <w:color w:val="auto"/>
              </w:rPr>
            </w:pPr>
            <w:r w:rsidRPr="0083568A">
              <w:rPr>
                <w:color w:val="auto"/>
              </w:rPr>
              <w:t>Discussion is attempted, with attempts to establish criteria for judgement and to relate the judgements to them, albeit with limited substantiation.</w:t>
            </w:r>
          </w:p>
          <w:p w14:paraId="4A29040B" w14:textId="77777777" w:rsidR="00604E06" w:rsidRPr="0083568A" w:rsidRDefault="00604E06" w:rsidP="0083568A">
            <w:pPr>
              <w:pStyle w:val="ListParagraph"/>
              <w:autoSpaceDE w:val="0"/>
              <w:autoSpaceDN w:val="0"/>
              <w:adjustRightInd w:val="0"/>
              <w:rPr>
                <w:color w:val="auto"/>
              </w:rPr>
            </w:pPr>
          </w:p>
          <w:p w14:paraId="3222839B" w14:textId="0578D4A5" w:rsidR="00DE4531" w:rsidRPr="0083568A" w:rsidRDefault="00604E06" w:rsidP="0083568A">
            <w:pPr>
              <w:pStyle w:val="ListParagraph"/>
              <w:numPr>
                <w:ilvl w:val="0"/>
                <w:numId w:val="44"/>
              </w:numPr>
              <w:autoSpaceDE w:val="0"/>
              <w:autoSpaceDN w:val="0"/>
              <w:adjustRightInd w:val="0"/>
              <w:rPr>
                <w:color w:val="auto"/>
              </w:rPr>
            </w:pPr>
            <w:r w:rsidRPr="0083568A">
              <w:rPr>
                <w:color w:val="auto"/>
              </w:rPr>
              <w:t>Answers are generally well organised and the overall argument is made clear, although parts lack coherence and precision.</w:t>
            </w:r>
          </w:p>
        </w:tc>
      </w:tr>
      <w:tr w:rsidR="00DE4531" w14:paraId="3AE81D23" w14:textId="77777777" w:rsidTr="00904C86">
        <w:tc>
          <w:tcPr>
            <w:tcW w:w="2048" w:type="dxa"/>
          </w:tcPr>
          <w:p w14:paraId="64C7FB90" w14:textId="6145A5B2" w:rsidR="00DE4531" w:rsidRPr="0083568A" w:rsidRDefault="00DE4531" w:rsidP="00904C86">
            <w:pPr>
              <w:pStyle w:val="ListBullet"/>
              <w:numPr>
                <w:ilvl w:val="0"/>
                <w:numId w:val="0"/>
              </w:numPr>
              <w:rPr>
                <w:b/>
                <w:bCs/>
                <w:lang w:val="en-GB" w:eastAsia="en-GB"/>
              </w:rPr>
            </w:pPr>
            <w:r w:rsidRPr="0083568A">
              <w:rPr>
                <w:b/>
                <w:bCs/>
                <w:lang w:val="en-GB" w:eastAsia="en-GB"/>
              </w:rPr>
              <w:t xml:space="preserve">Grade C </w:t>
            </w:r>
          </w:p>
          <w:p w14:paraId="670ABCEB" w14:textId="77777777" w:rsidR="00DE4531" w:rsidRPr="00DE4531" w:rsidRDefault="00DE4531" w:rsidP="00904C86">
            <w:pPr>
              <w:pStyle w:val="ListBullet"/>
              <w:numPr>
                <w:ilvl w:val="0"/>
                <w:numId w:val="0"/>
              </w:numPr>
              <w:rPr>
                <w:lang w:val="en-GB" w:eastAsia="en-GB"/>
              </w:rPr>
            </w:pPr>
            <w:r w:rsidRPr="0083568A">
              <w:rPr>
                <w:b/>
                <w:bCs/>
                <w:lang w:val="en-GB" w:eastAsia="en-GB"/>
              </w:rPr>
              <w:t>Secure students</w:t>
            </w:r>
          </w:p>
        </w:tc>
        <w:tc>
          <w:tcPr>
            <w:tcW w:w="7897" w:type="dxa"/>
          </w:tcPr>
          <w:p w14:paraId="5BD7EBCF" w14:textId="3EE5A767" w:rsidR="00E95FD9" w:rsidRPr="0083568A" w:rsidRDefault="00B27D0E" w:rsidP="0083568A">
            <w:pPr>
              <w:pStyle w:val="ListParagraph"/>
              <w:numPr>
                <w:ilvl w:val="0"/>
                <w:numId w:val="44"/>
              </w:numPr>
              <w:autoSpaceDE w:val="0"/>
              <w:autoSpaceDN w:val="0"/>
              <w:adjustRightInd w:val="0"/>
              <w:rPr>
                <w:color w:val="auto"/>
              </w:rPr>
            </w:pPr>
            <w:r w:rsidRPr="0083568A">
              <w:rPr>
                <w:color w:val="auto"/>
              </w:rPr>
              <w:t xml:space="preserve">There is some analysis of, and attempt to explain links between, the relevant key features of the period and the question, </w:t>
            </w:r>
            <w:r w:rsidR="00E95FD9" w:rsidRPr="0083568A">
              <w:rPr>
                <w:color w:val="auto"/>
              </w:rPr>
              <w:t>although</w:t>
            </w:r>
            <w:r w:rsidR="0083568A">
              <w:rPr>
                <w:color w:val="auto"/>
              </w:rPr>
              <w:t xml:space="preserve"> </w:t>
            </w:r>
            <w:r w:rsidR="00E95FD9" w:rsidRPr="0083568A">
              <w:t>descriptive passages may be included.</w:t>
            </w:r>
          </w:p>
          <w:p w14:paraId="0513E439" w14:textId="77777777" w:rsidR="00B27D0E" w:rsidRPr="0083568A" w:rsidRDefault="00B27D0E" w:rsidP="0083568A">
            <w:pPr>
              <w:pStyle w:val="ListParagraph"/>
              <w:autoSpaceDE w:val="0"/>
              <w:autoSpaceDN w:val="0"/>
              <w:adjustRightInd w:val="0"/>
              <w:rPr>
                <w:color w:val="auto"/>
              </w:rPr>
            </w:pPr>
          </w:p>
          <w:p w14:paraId="4CFC3FBD" w14:textId="32BDC42F" w:rsidR="00B27D0E" w:rsidRPr="0083568A" w:rsidRDefault="00B27D0E" w:rsidP="0083568A">
            <w:pPr>
              <w:pStyle w:val="ListParagraph"/>
              <w:numPr>
                <w:ilvl w:val="0"/>
                <w:numId w:val="44"/>
              </w:numPr>
              <w:autoSpaceDE w:val="0"/>
              <w:autoSpaceDN w:val="0"/>
              <w:adjustRightInd w:val="0"/>
              <w:rPr>
                <w:color w:val="auto"/>
              </w:rPr>
            </w:pPr>
            <w:r w:rsidRPr="0083568A">
              <w:rPr>
                <w:color w:val="auto"/>
              </w:rPr>
              <w:t>Understanding of the source material and extracts i</w:t>
            </w:r>
            <w:r w:rsidR="00337CF1" w:rsidRPr="0083568A">
              <w:rPr>
                <w:color w:val="auto"/>
              </w:rPr>
              <w:t>s</w:t>
            </w:r>
            <w:r w:rsidRPr="0083568A">
              <w:rPr>
                <w:color w:val="auto"/>
              </w:rPr>
              <w:t xml:space="preserve"> demonstrated, analysing them in order to explain key points relevant to the question</w:t>
            </w:r>
            <w:r w:rsidR="0019666A">
              <w:rPr>
                <w:color w:val="auto"/>
              </w:rPr>
              <w:t>.</w:t>
            </w:r>
          </w:p>
          <w:p w14:paraId="6383A921" w14:textId="77777777" w:rsidR="00B27D0E" w:rsidRPr="0083568A" w:rsidRDefault="00B27D0E" w:rsidP="0083568A">
            <w:pPr>
              <w:pStyle w:val="ListParagraph"/>
              <w:autoSpaceDE w:val="0"/>
              <w:autoSpaceDN w:val="0"/>
              <w:adjustRightInd w:val="0"/>
              <w:rPr>
                <w:color w:val="auto"/>
              </w:rPr>
            </w:pPr>
          </w:p>
          <w:p w14:paraId="2A9EB02F" w14:textId="128AD360" w:rsidR="00B27D0E" w:rsidRPr="0019666A" w:rsidRDefault="00B27D0E" w:rsidP="0019666A">
            <w:pPr>
              <w:pStyle w:val="ListParagraph"/>
              <w:numPr>
                <w:ilvl w:val="0"/>
                <w:numId w:val="44"/>
              </w:numPr>
              <w:autoSpaceDE w:val="0"/>
              <w:autoSpaceDN w:val="0"/>
              <w:adjustRightInd w:val="0"/>
              <w:rPr>
                <w:color w:val="auto"/>
              </w:rPr>
            </w:pPr>
            <w:r w:rsidRPr="0083568A">
              <w:rPr>
                <w:color w:val="auto"/>
              </w:rPr>
              <w:t xml:space="preserve">Mostly accurate and relevant knowledge is included to demonstrate </w:t>
            </w:r>
            <w:r w:rsidRPr="0083568A">
              <w:t>understanding of the conceptual focus of an essay question, but</w:t>
            </w:r>
            <w:r w:rsidR="0019666A">
              <w:t xml:space="preserve"> </w:t>
            </w:r>
            <w:r w:rsidRPr="0019666A">
              <w:t xml:space="preserve">the </w:t>
            </w:r>
            <w:r w:rsidRPr="0019666A">
              <w:rPr>
                <w:color w:val="auto"/>
              </w:rPr>
              <w:t>material lacks range or depth. Contextual knowledge is linked to sources to support inferences and is linked to issues of debate in the extracts.</w:t>
            </w:r>
          </w:p>
          <w:p w14:paraId="34E3E65E" w14:textId="77777777" w:rsidR="00B27D0E" w:rsidRPr="0083568A" w:rsidRDefault="00B27D0E" w:rsidP="0019666A">
            <w:pPr>
              <w:autoSpaceDE w:val="0"/>
              <w:autoSpaceDN w:val="0"/>
              <w:adjustRightInd w:val="0"/>
              <w:ind w:left="720"/>
              <w:rPr>
                <w:rFonts w:ascii="Open Sans" w:hAnsi="Open Sans" w:cstheme="minorBidi"/>
                <w:lang w:val="en-US" w:eastAsia="en-US"/>
              </w:rPr>
            </w:pPr>
          </w:p>
          <w:p w14:paraId="50013243" w14:textId="3882FC97" w:rsidR="00B27D0E" w:rsidRPr="0083568A" w:rsidRDefault="00B27D0E" w:rsidP="0083568A">
            <w:pPr>
              <w:pStyle w:val="ListParagraph"/>
              <w:numPr>
                <w:ilvl w:val="0"/>
                <w:numId w:val="44"/>
              </w:numPr>
              <w:autoSpaceDE w:val="0"/>
              <w:autoSpaceDN w:val="0"/>
              <w:adjustRightInd w:val="0"/>
              <w:rPr>
                <w:color w:val="auto"/>
              </w:rPr>
            </w:pPr>
            <w:r w:rsidRPr="0083568A">
              <w:rPr>
                <w:color w:val="auto"/>
              </w:rPr>
              <w:t>Attempts are made to establish criteria for judgement and to relate the judgements to them, although with weak substantiation.</w:t>
            </w:r>
          </w:p>
          <w:p w14:paraId="142102A7" w14:textId="77777777" w:rsidR="00B27D0E" w:rsidRPr="0083568A" w:rsidRDefault="00B27D0E" w:rsidP="0019666A">
            <w:pPr>
              <w:pStyle w:val="ListParagraph"/>
              <w:autoSpaceDE w:val="0"/>
              <w:autoSpaceDN w:val="0"/>
              <w:adjustRightInd w:val="0"/>
              <w:rPr>
                <w:color w:val="auto"/>
              </w:rPr>
            </w:pPr>
          </w:p>
          <w:p w14:paraId="21FE7C02" w14:textId="51E8843A" w:rsidR="00DE4531" w:rsidRPr="0019666A" w:rsidRDefault="00B27D0E" w:rsidP="0019666A">
            <w:pPr>
              <w:pStyle w:val="ListParagraph"/>
              <w:numPr>
                <w:ilvl w:val="0"/>
                <w:numId w:val="44"/>
              </w:numPr>
              <w:autoSpaceDE w:val="0"/>
              <w:autoSpaceDN w:val="0"/>
              <w:adjustRightInd w:val="0"/>
              <w:rPr>
                <w:color w:val="auto"/>
              </w:rPr>
            </w:pPr>
            <w:r w:rsidRPr="0083568A">
              <w:rPr>
                <w:color w:val="auto"/>
              </w:rPr>
              <w:t xml:space="preserve">Answers are generally well </w:t>
            </w:r>
            <w:r w:rsidR="00337CF1" w:rsidRPr="0083568A">
              <w:rPr>
                <w:color w:val="auto"/>
              </w:rPr>
              <w:t>organised,</w:t>
            </w:r>
            <w:r w:rsidRPr="0083568A">
              <w:rPr>
                <w:color w:val="auto"/>
              </w:rPr>
              <w:t xml:space="preserve"> although parts lack</w:t>
            </w:r>
            <w:r w:rsidR="0019666A">
              <w:rPr>
                <w:color w:val="auto"/>
              </w:rPr>
              <w:t xml:space="preserve"> </w:t>
            </w:r>
            <w:r w:rsidRPr="0019666A">
              <w:t>coherence and precision.</w:t>
            </w:r>
          </w:p>
        </w:tc>
      </w:tr>
      <w:tr w:rsidR="00DE4531" w14:paraId="6F303269" w14:textId="77777777" w:rsidTr="00904C86">
        <w:tc>
          <w:tcPr>
            <w:tcW w:w="2048" w:type="dxa"/>
          </w:tcPr>
          <w:p w14:paraId="75B29B55" w14:textId="3D12F3B3" w:rsidR="00DE4531" w:rsidRPr="0083568A" w:rsidRDefault="00DE4531" w:rsidP="00904C86">
            <w:pPr>
              <w:pStyle w:val="ListBullet"/>
              <w:numPr>
                <w:ilvl w:val="0"/>
                <w:numId w:val="0"/>
              </w:numPr>
              <w:rPr>
                <w:b/>
                <w:bCs/>
                <w:lang w:val="en-GB" w:eastAsia="en-GB"/>
              </w:rPr>
            </w:pPr>
            <w:r w:rsidRPr="0083568A">
              <w:rPr>
                <w:b/>
                <w:bCs/>
                <w:lang w:val="en-GB" w:eastAsia="en-GB"/>
              </w:rPr>
              <w:t>Grade C</w:t>
            </w:r>
          </w:p>
          <w:p w14:paraId="5FFE00FD" w14:textId="7159F2CB" w:rsidR="00DE4531" w:rsidRPr="00DE4531" w:rsidRDefault="006D106C" w:rsidP="00904C86">
            <w:pPr>
              <w:pStyle w:val="ListBullet"/>
              <w:numPr>
                <w:ilvl w:val="0"/>
                <w:numId w:val="0"/>
              </w:numPr>
              <w:rPr>
                <w:lang w:val="en-GB" w:eastAsia="en-GB"/>
              </w:rPr>
            </w:pPr>
            <w:r w:rsidRPr="0083568A">
              <w:rPr>
                <w:b/>
                <w:bCs/>
                <w:lang w:val="en-GB" w:eastAsia="en-GB"/>
              </w:rPr>
              <w:t>Borderline students</w:t>
            </w:r>
          </w:p>
        </w:tc>
        <w:tc>
          <w:tcPr>
            <w:tcW w:w="7897" w:type="dxa"/>
          </w:tcPr>
          <w:p w14:paraId="29A44215" w14:textId="14022F3C" w:rsidR="00B27D0E" w:rsidRPr="0019666A" w:rsidRDefault="00B27D0E" w:rsidP="0019666A">
            <w:pPr>
              <w:pStyle w:val="ListParagraph"/>
              <w:numPr>
                <w:ilvl w:val="0"/>
                <w:numId w:val="44"/>
              </w:numPr>
              <w:autoSpaceDE w:val="0"/>
              <w:autoSpaceDN w:val="0"/>
              <w:adjustRightInd w:val="0"/>
              <w:rPr>
                <w:color w:val="auto"/>
              </w:rPr>
            </w:pPr>
            <w:r w:rsidRPr="0019666A">
              <w:rPr>
                <w:color w:val="auto"/>
              </w:rPr>
              <w:t>There is some analysis of, and attempt to explain links between, the</w:t>
            </w:r>
            <w:r w:rsidR="0019666A">
              <w:rPr>
                <w:color w:val="auto"/>
              </w:rPr>
              <w:t xml:space="preserve"> </w:t>
            </w:r>
            <w:r w:rsidRPr="0019666A">
              <w:t>relevant key features of the period and the question, although</w:t>
            </w:r>
            <w:r w:rsidR="0019666A">
              <w:t xml:space="preserve"> </w:t>
            </w:r>
            <w:r w:rsidRPr="0019666A">
              <w:t xml:space="preserve">descriptive passages </w:t>
            </w:r>
            <w:r w:rsidR="00E95FD9" w:rsidRPr="0019666A">
              <w:t>are like</w:t>
            </w:r>
            <w:r w:rsidR="00C43D40" w:rsidRPr="0019666A">
              <w:t>ly</w:t>
            </w:r>
            <w:r w:rsidR="00E95FD9" w:rsidRPr="0019666A">
              <w:t xml:space="preserve"> to be</w:t>
            </w:r>
            <w:r w:rsidRPr="0019666A">
              <w:t xml:space="preserve"> included.</w:t>
            </w:r>
          </w:p>
          <w:p w14:paraId="65CCF408" w14:textId="77777777" w:rsidR="00B27D0E" w:rsidRPr="0019666A" w:rsidRDefault="00B27D0E" w:rsidP="0019666A">
            <w:pPr>
              <w:pStyle w:val="ListParagraph"/>
              <w:autoSpaceDE w:val="0"/>
              <w:autoSpaceDN w:val="0"/>
              <w:adjustRightInd w:val="0"/>
              <w:rPr>
                <w:color w:val="auto"/>
              </w:rPr>
            </w:pPr>
          </w:p>
          <w:p w14:paraId="1D87DB59" w14:textId="351C176A" w:rsidR="00B27D0E" w:rsidRPr="0019666A" w:rsidRDefault="00B27D0E" w:rsidP="0019666A">
            <w:pPr>
              <w:pStyle w:val="ListParagraph"/>
              <w:numPr>
                <w:ilvl w:val="0"/>
                <w:numId w:val="44"/>
              </w:numPr>
              <w:autoSpaceDE w:val="0"/>
              <w:autoSpaceDN w:val="0"/>
              <w:adjustRightInd w:val="0"/>
              <w:rPr>
                <w:color w:val="auto"/>
              </w:rPr>
            </w:pPr>
            <w:r w:rsidRPr="0019666A">
              <w:rPr>
                <w:color w:val="auto"/>
              </w:rPr>
              <w:t>U</w:t>
            </w:r>
            <w:r w:rsidR="00337CF1" w:rsidRPr="0019666A">
              <w:rPr>
                <w:color w:val="auto"/>
              </w:rPr>
              <w:t>nderstanding</w:t>
            </w:r>
            <w:r w:rsidRPr="0019666A">
              <w:rPr>
                <w:color w:val="auto"/>
              </w:rPr>
              <w:t xml:space="preserve"> of the source material and extracts is demonstrated, analysing them to select key points relevant to the question</w:t>
            </w:r>
            <w:r w:rsidR="0019666A">
              <w:rPr>
                <w:color w:val="auto"/>
              </w:rPr>
              <w:t>.</w:t>
            </w:r>
          </w:p>
          <w:p w14:paraId="51AAC392" w14:textId="77777777" w:rsidR="00B27D0E" w:rsidRPr="0019666A" w:rsidRDefault="00B27D0E" w:rsidP="0019666A">
            <w:pPr>
              <w:pStyle w:val="ListParagraph"/>
              <w:autoSpaceDE w:val="0"/>
              <w:autoSpaceDN w:val="0"/>
              <w:adjustRightInd w:val="0"/>
              <w:rPr>
                <w:color w:val="auto"/>
              </w:rPr>
            </w:pPr>
          </w:p>
          <w:p w14:paraId="1FECAC12" w14:textId="51387E66" w:rsidR="00B27D0E" w:rsidRPr="0019666A" w:rsidRDefault="00B27D0E" w:rsidP="0019666A">
            <w:pPr>
              <w:pStyle w:val="ListParagraph"/>
              <w:numPr>
                <w:ilvl w:val="0"/>
                <w:numId w:val="44"/>
              </w:numPr>
              <w:autoSpaceDE w:val="0"/>
              <w:autoSpaceDN w:val="0"/>
              <w:adjustRightInd w:val="0"/>
              <w:rPr>
                <w:color w:val="auto"/>
              </w:rPr>
            </w:pPr>
            <w:r w:rsidRPr="0019666A">
              <w:rPr>
                <w:color w:val="auto"/>
              </w:rPr>
              <w:t xml:space="preserve">Mostly accurate and relevant knowledge is included to demonstrate some understanding of the conceptual focus of an essay question, but the material deployed lacks range or depth. Contextual knowledge is </w:t>
            </w:r>
            <w:r w:rsidRPr="0019666A">
              <w:rPr>
                <w:color w:val="auto"/>
              </w:rPr>
              <w:lastRenderedPageBreak/>
              <w:t>linked to the sources to expand details and is linked to views in the extracts.</w:t>
            </w:r>
          </w:p>
          <w:p w14:paraId="68EB24B9" w14:textId="77777777" w:rsidR="00B27D0E" w:rsidRPr="0019666A" w:rsidRDefault="00B27D0E" w:rsidP="0019666A">
            <w:pPr>
              <w:pStyle w:val="ListParagraph"/>
              <w:autoSpaceDE w:val="0"/>
              <w:autoSpaceDN w:val="0"/>
              <w:adjustRightInd w:val="0"/>
              <w:rPr>
                <w:color w:val="auto"/>
              </w:rPr>
            </w:pPr>
          </w:p>
          <w:p w14:paraId="3426EF34" w14:textId="1BFFE461" w:rsidR="00B27D0E" w:rsidRPr="0019666A" w:rsidRDefault="00B27D0E" w:rsidP="0019666A">
            <w:pPr>
              <w:pStyle w:val="ListParagraph"/>
              <w:numPr>
                <w:ilvl w:val="0"/>
                <w:numId w:val="44"/>
              </w:numPr>
              <w:autoSpaceDE w:val="0"/>
              <w:autoSpaceDN w:val="0"/>
              <w:adjustRightInd w:val="0"/>
              <w:rPr>
                <w:color w:val="auto"/>
              </w:rPr>
            </w:pPr>
            <w:r w:rsidRPr="0019666A">
              <w:rPr>
                <w:color w:val="auto"/>
              </w:rPr>
              <w:t>Valid criteria for judgments are included</w:t>
            </w:r>
            <w:r w:rsidR="00036358" w:rsidRPr="0019666A">
              <w:rPr>
                <w:color w:val="auto"/>
              </w:rPr>
              <w:t>,</w:t>
            </w:r>
            <w:r w:rsidRPr="0019666A">
              <w:rPr>
                <w:color w:val="auto"/>
              </w:rPr>
              <w:t xml:space="preserve"> but with limited justification.</w:t>
            </w:r>
          </w:p>
          <w:p w14:paraId="16828580" w14:textId="77777777" w:rsidR="00B27D0E" w:rsidRPr="0019666A" w:rsidRDefault="00B27D0E" w:rsidP="0019666A">
            <w:pPr>
              <w:pStyle w:val="ListParagraph"/>
              <w:autoSpaceDE w:val="0"/>
              <w:autoSpaceDN w:val="0"/>
              <w:adjustRightInd w:val="0"/>
              <w:rPr>
                <w:color w:val="auto"/>
              </w:rPr>
            </w:pPr>
          </w:p>
          <w:p w14:paraId="2E78E684" w14:textId="4322C8BE" w:rsidR="00DE4531" w:rsidRPr="0019666A" w:rsidRDefault="00B27D0E" w:rsidP="0019666A">
            <w:pPr>
              <w:pStyle w:val="ListParagraph"/>
              <w:numPr>
                <w:ilvl w:val="0"/>
                <w:numId w:val="44"/>
              </w:numPr>
              <w:autoSpaceDE w:val="0"/>
              <w:autoSpaceDN w:val="0"/>
              <w:adjustRightInd w:val="0"/>
              <w:rPr>
                <w:color w:val="auto"/>
              </w:rPr>
            </w:pPr>
            <w:r w:rsidRPr="0019666A">
              <w:rPr>
                <w:color w:val="auto"/>
              </w:rPr>
              <w:t>The answer shows some organisation. The general trend of the argument is clear, but parts of it lack logic, coherence and precision.</w:t>
            </w:r>
          </w:p>
        </w:tc>
      </w:tr>
    </w:tbl>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1E59667C" w:rsidR="005A6E88" w:rsidRPr="005A6E88" w:rsidRDefault="005A6E88" w:rsidP="005A6E88">
      <w:pPr>
        <w:pStyle w:val="ListParagraph"/>
        <w:numPr>
          <w:ilvl w:val="0"/>
          <w:numId w:val="42"/>
        </w:numPr>
      </w:pPr>
      <w:r>
        <w:t xml:space="preserve">there is a large range of support available via </w:t>
      </w:r>
      <w:hyperlink r:id="rId16" w:anchor="filterQuery=category:Pearson-UK:Category%2FTeaching-and-learning-materials" w:history="1">
        <w:r w:rsidRPr="0019666A">
          <w:rPr>
            <w:rStyle w:val="Hyperlink"/>
            <w:color w:val="0070C0"/>
          </w:rPr>
          <w:t>the subject pages</w:t>
        </w:r>
      </w:hyperlink>
      <w:r w:rsidRPr="0019666A">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05D827CA" w:rsidR="005A6E88" w:rsidRPr="005A6E88" w:rsidRDefault="005A6E88" w:rsidP="005A6E88">
      <w:pPr>
        <w:pStyle w:val="ListParagraph"/>
        <w:numPr>
          <w:ilvl w:val="0"/>
          <w:numId w:val="42"/>
        </w:numPr>
      </w:pPr>
      <w:r>
        <w:t xml:space="preserve">you can contact us via our </w:t>
      </w:r>
      <w:hyperlink r:id="rId17" w:history="1">
        <w:r w:rsidRPr="0019666A">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2C4CB" w16cex:dateUtc="2020-05-10T17:22:00Z"/>
  <w16cex:commentExtensible w16cex:durableId="2264A411" w16cex:dateUtc="2020-05-12T03:26:00Z"/>
  <w16cex:commentExtensible w16cex:durableId="2262C059" w16cex:dateUtc="2020-05-10T17:03:00Z"/>
  <w16cex:commentExtensible w16cex:durableId="2264A514" w16cex:dateUtc="2020-05-12T03:31:00Z"/>
  <w16cex:commentExtensible w16cex:durableId="2262C29C" w16cex:dateUtc="2020-05-10T17:12:00Z"/>
  <w16cex:commentExtensible w16cex:durableId="2264A5EC" w16cex:dateUtc="2020-05-12T03:34:00Z"/>
  <w16cex:commentExtensible w16cex:durableId="2264A6DF" w16cex:dateUtc="2020-05-12T03:38:00Z"/>
  <w16cex:commentExtensible w16cex:durableId="2264AAA2" w16cex:dateUtc="2020-05-12T03:54:00Z"/>
  <w16cex:commentExtensible w16cex:durableId="2264A79A" w16cex:dateUtc="2020-05-12T03:42:00Z"/>
  <w16cex:commentExtensible w16cex:durableId="2264ABF4" w16cex:dateUtc="2020-05-12T04:00:00Z"/>
  <w16cex:commentExtensible w16cex:durableId="2264AC42" w16cex:dateUtc="2020-05-12T0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65C17" w14:textId="77777777" w:rsidR="00AF2966" w:rsidRDefault="00AF2966" w:rsidP="003F4BE3">
      <w:r>
        <w:separator/>
      </w:r>
    </w:p>
    <w:p w14:paraId="5A97A7A2" w14:textId="77777777" w:rsidR="00AF2966" w:rsidRDefault="00AF2966"/>
    <w:p w14:paraId="0706E46C" w14:textId="77777777" w:rsidR="00AF2966" w:rsidRDefault="00AF2966"/>
  </w:endnote>
  <w:endnote w:type="continuationSeparator" w:id="0">
    <w:p w14:paraId="735FA7C3" w14:textId="77777777" w:rsidR="00AF2966" w:rsidRDefault="00AF2966" w:rsidP="003F4BE3">
      <w:r>
        <w:continuationSeparator/>
      </w:r>
    </w:p>
    <w:p w14:paraId="37B3E0F9" w14:textId="77777777" w:rsidR="00AF2966" w:rsidRDefault="00AF2966"/>
    <w:p w14:paraId="0ACA7120" w14:textId="77777777" w:rsidR="00AF2966" w:rsidRDefault="00AF2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0023" w14:textId="3FC03D18" w:rsidR="00DD171B" w:rsidRPr="0019666A" w:rsidRDefault="0019666A" w:rsidP="0019666A">
    <w:pPr>
      <w:pStyle w:val="Footer"/>
    </w:pPr>
    <w:r>
      <w:t>A level History_Grade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3824" w14:textId="474BF244" w:rsidR="00037899" w:rsidRDefault="0019666A" w:rsidP="00721737">
    <w:pPr>
      <w:pStyle w:val="Footer"/>
    </w:pPr>
    <w:r>
      <w:t>A level History_Grade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1FCE1" w14:textId="77777777" w:rsidR="00AF2966" w:rsidRDefault="00AF2966" w:rsidP="003F4BE3">
      <w:r>
        <w:separator/>
      </w:r>
    </w:p>
    <w:p w14:paraId="190F26CC" w14:textId="77777777" w:rsidR="00AF2966" w:rsidRDefault="00AF2966"/>
    <w:p w14:paraId="75501887" w14:textId="77777777" w:rsidR="00AF2966" w:rsidRDefault="00AF2966"/>
  </w:footnote>
  <w:footnote w:type="continuationSeparator" w:id="0">
    <w:p w14:paraId="093AF86F" w14:textId="77777777" w:rsidR="00AF2966" w:rsidRDefault="00AF2966" w:rsidP="003F4BE3">
      <w:r>
        <w:continuationSeparator/>
      </w:r>
    </w:p>
    <w:p w14:paraId="36597AEA" w14:textId="77777777" w:rsidR="00AF2966" w:rsidRDefault="00AF2966"/>
    <w:p w14:paraId="21CD2C84" w14:textId="77777777" w:rsidR="00AF2966" w:rsidRDefault="00AF29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2492D"/>
    <w:multiLevelType w:val="hybridMultilevel"/>
    <w:tmpl w:val="F9D4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68018B"/>
    <w:multiLevelType w:val="multilevel"/>
    <w:tmpl w:val="0809001F"/>
    <w:numStyleLink w:val="111111"/>
  </w:abstractNum>
  <w:abstractNum w:abstractNumId="15"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7"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720BEB"/>
    <w:multiLevelType w:val="hybridMultilevel"/>
    <w:tmpl w:val="C818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6A7808"/>
    <w:multiLevelType w:val="multilevel"/>
    <w:tmpl w:val="0809001F"/>
    <w:numStyleLink w:val="111111"/>
  </w:abstractNum>
  <w:abstractNum w:abstractNumId="26"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E7D82"/>
    <w:multiLevelType w:val="multilevel"/>
    <w:tmpl w:val="0809001F"/>
    <w:numStyleLink w:val="111111"/>
  </w:abstractNum>
  <w:abstractNum w:abstractNumId="29"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1"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3"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6"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10A70"/>
    <w:multiLevelType w:val="hybridMultilevel"/>
    <w:tmpl w:val="7044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7A794A"/>
    <w:multiLevelType w:val="hybridMultilevel"/>
    <w:tmpl w:val="D4BA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971ADA"/>
    <w:multiLevelType w:val="hybridMultilevel"/>
    <w:tmpl w:val="0BD6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6"/>
  </w:num>
  <w:num w:numId="4">
    <w:abstractNumId w:val="32"/>
  </w:num>
  <w:num w:numId="5">
    <w:abstractNumId w:val="8"/>
  </w:num>
  <w:num w:numId="6">
    <w:abstractNumId w:val="7"/>
  </w:num>
  <w:num w:numId="7">
    <w:abstractNumId w:val="21"/>
  </w:num>
  <w:num w:numId="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3"/>
  </w:num>
  <w:num w:numId="17">
    <w:abstractNumId w:val="25"/>
  </w:num>
  <w:num w:numId="18">
    <w:abstractNumId w:val="28"/>
  </w:num>
  <w:num w:numId="19">
    <w:abstractNumId w:val="30"/>
  </w:num>
  <w:num w:numId="20">
    <w:abstractNumId w:val="3"/>
  </w:num>
  <w:num w:numId="21">
    <w:abstractNumId w:val="26"/>
  </w:num>
  <w:num w:numId="22">
    <w:abstractNumId w:val="36"/>
  </w:num>
  <w:num w:numId="23">
    <w:abstractNumId w:val="24"/>
  </w:num>
  <w:num w:numId="24">
    <w:abstractNumId w:val="31"/>
  </w:num>
  <w:num w:numId="25">
    <w:abstractNumId w:val="23"/>
  </w:num>
  <w:num w:numId="26">
    <w:abstractNumId w:val="11"/>
  </w:num>
  <w:num w:numId="27">
    <w:abstractNumId w:val="29"/>
  </w:num>
  <w:num w:numId="28">
    <w:abstractNumId w:val="15"/>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3"/>
  </w:num>
  <w:num w:numId="34">
    <w:abstractNumId w:val="37"/>
  </w:num>
  <w:num w:numId="35">
    <w:abstractNumId w:val="18"/>
  </w:num>
  <w:num w:numId="36">
    <w:abstractNumId w:val="12"/>
  </w:num>
  <w:num w:numId="37">
    <w:abstractNumId w:val="34"/>
  </w:num>
  <w:num w:numId="38">
    <w:abstractNumId w:val="38"/>
  </w:num>
  <w:num w:numId="39">
    <w:abstractNumId w:val="41"/>
  </w:num>
  <w:num w:numId="40">
    <w:abstractNumId w:val="27"/>
  </w:num>
  <w:num w:numId="41">
    <w:abstractNumId w:val="17"/>
  </w:num>
  <w:num w:numId="42">
    <w:abstractNumId w:val="42"/>
  </w:num>
  <w:num w:numId="43">
    <w:abstractNumId w:val="39"/>
  </w:num>
  <w:num w:numId="44">
    <w:abstractNumId w:val="40"/>
  </w:num>
  <w:num w:numId="45">
    <w:abstractNumId w:val="43"/>
  </w:num>
  <w:num w:numId="46">
    <w:abstractNumId w:val="10"/>
  </w:num>
  <w:num w:numId="4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6358"/>
    <w:rsid w:val="00037899"/>
    <w:rsid w:val="000379A2"/>
    <w:rsid w:val="00053208"/>
    <w:rsid w:val="00053F84"/>
    <w:rsid w:val="00057C2F"/>
    <w:rsid w:val="00064CFA"/>
    <w:rsid w:val="00072AD6"/>
    <w:rsid w:val="000902A4"/>
    <w:rsid w:val="000B523F"/>
    <w:rsid w:val="000B597C"/>
    <w:rsid w:val="000D22F0"/>
    <w:rsid w:val="000D38EE"/>
    <w:rsid w:val="000D51BA"/>
    <w:rsid w:val="000E14A7"/>
    <w:rsid w:val="000E7EC1"/>
    <w:rsid w:val="00102BFA"/>
    <w:rsid w:val="00105ADD"/>
    <w:rsid w:val="001127EE"/>
    <w:rsid w:val="00113E26"/>
    <w:rsid w:val="00116746"/>
    <w:rsid w:val="00117F1F"/>
    <w:rsid w:val="0015549D"/>
    <w:rsid w:val="001679F8"/>
    <w:rsid w:val="00171271"/>
    <w:rsid w:val="00173384"/>
    <w:rsid w:val="00181199"/>
    <w:rsid w:val="001819BF"/>
    <w:rsid w:val="00184CAA"/>
    <w:rsid w:val="00193B73"/>
    <w:rsid w:val="0019666A"/>
    <w:rsid w:val="001C69A4"/>
    <w:rsid w:val="001D54A2"/>
    <w:rsid w:val="001E57B1"/>
    <w:rsid w:val="001E5C50"/>
    <w:rsid w:val="001F7B64"/>
    <w:rsid w:val="002046E7"/>
    <w:rsid w:val="00215932"/>
    <w:rsid w:val="002351C4"/>
    <w:rsid w:val="00247EAA"/>
    <w:rsid w:val="002562CC"/>
    <w:rsid w:val="002653BB"/>
    <w:rsid w:val="0026673C"/>
    <w:rsid w:val="00293A47"/>
    <w:rsid w:val="002D355A"/>
    <w:rsid w:val="002D46A3"/>
    <w:rsid w:val="0032691D"/>
    <w:rsid w:val="00334437"/>
    <w:rsid w:val="00337CF1"/>
    <w:rsid w:val="0034112A"/>
    <w:rsid w:val="00350D6A"/>
    <w:rsid w:val="00354F66"/>
    <w:rsid w:val="00370DFE"/>
    <w:rsid w:val="00372CAF"/>
    <w:rsid w:val="0037577F"/>
    <w:rsid w:val="0037680C"/>
    <w:rsid w:val="003A0A13"/>
    <w:rsid w:val="003A6485"/>
    <w:rsid w:val="003B5584"/>
    <w:rsid w:val="003C3860"/>
    <w:rsid w:val="003C68D9"/>
    <w:rsid w:val="003E0B87"/>
    <w:rsid w:val="003E387B"/>
    <w:rsid w:val="003E6918"/>
    <w:rsid w:val="003F4BE3"/>
    <w:rsid w:val="0040647C"/>
    <w:rsid w:val="00412EA3"/>
    <w:rsid w:val="00433B1D"/>
    <w:rsid w:val="00451930"/>
    <w:rsid w:val="00460AF6"/>
    <w:rsid w:val="004625BE"/>
    <w:rsid w:val="004A5A7A"/>
    <w:rsid w:val="004B5905"/>
    <w:rsid w:val="004C2F29"/>
    <w:rsid w:val="004C46C8"/>
    <w:rsid w:val="004D0035"/>
    <w:rsid w:val="004D1A96"/>
    <w:rsid w:val="004D1EC2"/>
    <w:rsid w:val="00502EF6"/>
    <w:rsid w:val="00507FCC"/>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D30E4"/>
    <w:rsid w:val="005D7477"/>
    <w:rsid w:val="00604E06"/>
    <w:rsid w:val="006110F0"/>
    <w:rsid w:val="006205B7"/>
    <w:rsid w:val="00624ACC"/>
    <w:rsid w:val="00631134"/>
    <w:rsid w:val="00655737"/>
    <w:rsid w:val="00661ED5"/>
    <w:rsid w:val="00667558"/>
    <w:rsid w:val="00677381"/>
    <w:rsid w:val="00683B7D"/>
    <w:rsid w:val="006867BA"/>
    <w:rsid w:val="0069344C"/>
    <w:rsid w:val="006B72CE"/>
    <w:rsid w:val="006C1438"/>
    <w:rsid w:val="006D106C"/>
    <w:rsid w:val="006D3CEC"/>
    <w:rsid w:val="00704696"/>
    <w:rsid w:val="00715E19"/>
    <w:rsid w:val="00721737"/>
    <w:rsid w:val="007301AA"/>
    <w:rsid w:val="00745D17"/>
    <w:rsid w:val="00747EAF"/>
    <w:rsid w:val="00763BC1"/>
    <w:rsid w:val="00766C1F"/>
    <w:rsid w:val="00774BAF"/>
    <w:rsid w:val="00774E23"/>
    <w:rsid w:val="00781A9C"/>
    <w:rsid w:val="0079779E"/>
    <w:rsid w:val="007A4078"/>
    <w:rsid w:val="007B2C4D"/>
    <w:rsid w:val="007C49BE"/>
    <w:rsid w:val="007D718E"/>
    <w:rsid w:val="008051B3"/>
    <w:rsid w:val="00817AFE"/>
    <w:rsid w:val="0083568A"/>
    <w:rsid w:val="00835AB3"/>
    <w:rsid w:val="00840925"/>
    <w:rsid w:val="00847041"/>
    <w:rsid w:val="00855ABA"/>
    <w:rsid w:val="00861C41"/>
    <w:rsid w:val="00874831"/>
    <w:rsid w:val="00880E15"/>
    <w:rsid w:val="0088458B"/>
    <w:rsid w:val="00885022"/>
    <w:rsid w:val="00886509"/>
    <w:rsid w:val="0089217D"/>
    <w:rsid w:val="008A648E"/>
    <w:rsid w:val="008B07C2"/>
    <w:rsid w:val="008C396E"/>
    <w:rsid w:val="008C4418"/>
    <w:rsid w:val="008C5373"/>
    <w:rsid w:val="008E4762"/>
    <w:rsid w:val="008E6836"/>
    <w:rsid w:val="008F369C"/>
    <w:rsid w:val="008F52C1"/>
    <w:rsid w:val="00900513"/>
    <w:rsid w:val="00903FC6"/>
    <w:rsid w:val="00934042"/>
    <w:rsid w:val="00950750"/>
    <w:rsid w:val="0095150B"/>
    <w:rsid w:val="00952FB5"/>
    <w:rsid w:val="009543F9"/>
    <w:rsid w:val="00954E22"/>
    <w:rsid w:val="00962DFD"/>
    <w:rsid w:val="009844BB"/>
    <w:rsid w:val="009B10BF"/>
    <w:rsid w:val="009B553F"/>
    <w:rsid w:val="009C191E"/>
    <w:rsid w:val="009C472E"/>
    <w:rsid w:val="009C6DA5"/>
    <w:rsid w:val="00A13C21"/>
    <w:rsid w:val="00A17EEE"/>
    <w:rsid w:val="00A33826"/>
    <w:rsid w:val="00A4267F"/>
    <w:rsid w:val="00A42E78"/>
    <w:rsid w:val="00A43012"/>
    <w:rsid w:val="00A450AC"/>
    <w:rsid w:val="00A64830"/>
    <w:rsid w:val="00AB36E3"/>
    <w:rsid w:val="00AD5F45"/>
    <w:rsid w:val="00AE2D43"/>
    <w:rsid w:val="00AE7FBC"/>
    <w:rsid w:val="00AF02B1"/>
    <w:rsid w:val="00AF2966"/>
    <w:rsid w:val="00B21040"/>
    <w:rsid w:val="00B25A5F"/>
    <w:rsid w:val="00B27D0E"/>
    <w:rsid w:val="00B314E6"/>
    <w:rsid w:val="00B35BE1"/>
    <w:rsid w:val="00B40B44"/>
    <w:rsid w:val="00B415B7"/>
    <w:rsid w:val="00B44D2D"/>
    <w:rsid w:val="00B53DD4"/>
    <w:rsid w:val="00B709DD"/>
    <w:rsid w:val="00BB6C7A"/>
    <w:rsid w:val="00BC6855"/>
    <w:rsid w:val="00BD0DF9"/>
    <w:rsid w:val="00BD6036"/>
    <w:rsid w:val="00C1774B"/>
    <w:rsid w:val="00C21870"/>
    <w:rsid w:val="00C32710"/>
    <w:rsid w:val="00C35904"/>
    <w:rsid w:val="00C43D40"/>
    <w:rsid w:val="00C46C04"/>
    <w:rsid w:val="00C51B48"/>
    <w:rsid w:val="00C81C69"/>
    <w:rsid w:val="00C84A2A"/>
    <w:rsid w:val="00CC10F2"/>
    <w:rsid w:val="00CC484E"/>
    <w:rsid w:val="00CD0ADE"/>
    <w:rsid w:val="00D166C4"/>
    <w:rsid w:val="00D35BD9"/>
    <w:rsid w:val="00D831E2"/>
    <w:rsid w:val="00D847C7"/>
    <w:rsid w:val="00D8676C"/>
    <w:rsid w:val="00DA61F9"/>
    <w:rsid w:val="00DB186A"/>
    <w:rsid w:val="00DB6280"/>
    <w:rsid w:val="00DD171B"/>
    <w:rsid w:val="00DD4DC8"/>
    <w:rsid w:val="00DE4531"/>
    <w:rsid w:val="00DE5DF0"/>
    <w:rsid w:val="00DF3552"/>
    <w:rsid w:val="00DF3A0D"/>
    <w:rsid w:val="00DF7A14"/>
    <w:rsid w:val="00E054AC"/>
    <w:rsid w:val="00E128DE"/>
    <w:rsid w:val="00E251D7"/>
    <w:rsid w:val="00E410EF"/>
    <w:rsid w:val="00E41A40"/>
    <w:rsid w:val="00E535B6"/>
    <w:rsid w:val="00E5418C"/>
    <w:rsid w:val="00E64741"/>
    <w:rsid w:val="00E6642C"/>
    <w:rsid w:val="00E81C00"/>
    <w:rsid w:val="00E9353B"/>
    <w:rsid w:val="00E940A3"/>
    <w:rsid w:val="00E95FD9"/>
    <w:rsid w:val="00EB2930"/>
    <w:rsid w:val="00EB470B"/>
    <w:rsid w:val="00ED23D2"/>
    <w:rsid w:val="00ED40D9"/>
    <w:rsid w:val="00EE7341"/>
    <w:rsid w:val="00EF08D0"/>
    <w:rsid w:val="00EF67EC"/>
    <w:rsid w:val="00F04C1F"/>
    <w:rsid w:val="00F06919"/>
    <w:rsid w:val="00F06D48"/>
    <w:rsid w:val="00F160D0"/>
    <w:rsid w:val="00F26058"/>
    <w:rsid w:val="00F332B8"/>
    <w:rsid w:val="00F374D6"/>
    <w:rsid w:val="00F47CB3"/>
    <w:rsid w:val="00F52167"/>
    <w:rsid w:val="00F72CB3"/>
    <w:rsid w:val="00F87919"/>
    <w:rsid w:val="00F87F26"/>
    <w:rsid w:val="00FB11BF"/>
    <w:rsid w:val="00FC5048"/>
    <w:rsid w:val="00FC79C9"/>
    <w:rsid w:val="00FD3D77"/>
    <w:rsid w:val="00FD42E2"/>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qFormat/>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paragraph" w:styleId="Revision">
    <w:name w:val="Revision"/>
    <w:hidden/>
    <w:uiPriority w:val="99"/>
    <w:semiHidden/>
    <w:rsid w:val="00116746"/>
    <w:rPr>
      <w:rFonts w:ascii="Times New Roman" w:hAnsi="Times New Roman" w:cs="Times New Roman"/>
      <w:lang w:val="en-GB" w:eastAsia="en-GB"/>
    </w:rPr>
  </w:style>
  <w:style w:type="character" w:styleId="UnresolvedMention">
    <w:name w:val="Unresolved Mention"/>
    <w:basedOn w:val="DefaultParagraphFont"/>
    <w:uiPriority w:val="99"/>
    <w:rsid w:val="00835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26285171">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history-2015.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a-levels/history-2015.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a-levels/history-2015.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history-2015.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53ACEB-C7C2-BD46-8CBE-FD563846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5</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10687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2020-05-10T17:46:00Z</cp:lastPrinted>
  <dcterms:created xsi:type="dcterms:W3CDTF">2020-05-14T16:13:00Z</dcterms:created>
  <dcterms:modified xsi:type="dcterms:W3CDTF">2020-05-14T16:13:00Z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