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25C8D" w14:textId="77777777" w:rsidR="002C26D0" w:rsidRDefault="002C26D0" w:rsidP="002C26D0">
      <w:pPr>
        <w:jc w:val="center"/>
        <w:rPr>
          <w:b/>
          <w:u w:val="single"/>
        </w:rPr>
      </w:pPr>
      <w:r>
        <w:rPr>
          <w:b/>
          <w:u w:val="single"/>
        </w:rPr>
        <w:t xml:space="preserve">A level Biology B, </w:t>
      </w:r>
      <w:r w:rsidRPr="002C26D0">
        <w:rPr>
          <w:b/>
          <w:u w:val="single"/>
        </w:rPr>
        <w:t>Chemistry and Physics</w:t>
      </w:r>
      <w:r w:rsidR="00CC01E6">
        <w:rPr>
          <w:b/>
          <w:u w:val="single"/>
        </w:rPr>
        <w:t>: amendments to Core Practical worksheets</w:t>
      </w:r>
    </w:p>
    <w:p w14:paraId="6765474A" w14:textId="77777777" w:rsidR="00AB2D38" w:rsidRPr="00AB2D38" w:rsidRDefault="00AB2D38" w:rsidP="00AB2D38">
      <w:pPr>
        <w:spacing w:after="0"/>
        <w:rPr>
          <w:sz w:val="16"/>
          <w:szCs w:val="16"/>
          <w:u w:val="single"/>
        </w:rPr>
      </w:pPr>
    </w:p>
    <w:p w14:paraId="336CD952" w14:textId="77777777" w:rsidR="002C26D0" w:rsidRPr="002C26D0" w:rsidRDefault="002C26D0">
      <w:pPr>
        <w:rPr>
          <w:u w:val="single"/>
        </w:rPr>
      </w:pPr>
      <w:r w:rsidRPr="002C26D0">
        <w:rPr>
          <w:u w:val="single"/>
        </w:rPr>
        <w:t>CPAC allocations</w:t>
      </w:r>
      <w:r w:rsidR="002E7337">
        <w:rPr>
          <w:u w:val="single"/>
        </w:rPr>
        <w:t xml:space="preserve"> on worksheets</w:t>
      </w:r>
    </w:p>
    <w:p w14:paraId="71D9E6CB" w14:textId="77777777" w:rsidR="002C26D0" w:rsidRDefault="002E7337">
      <w:r>
        <w:t>The Core Practical worksheets on the website are a subset of the</w:t>
      </w:r>
      <w:r w:rsidR="00646681">
        <w:t xml:space="preserve"> series of</w:t>
      </w:r>
      <w:r>
        <w:t xml:space="preserve"> practical worksheets produced by the Pearson publishing team to support our A level specifications. The CPAC allocations on </w:t>
      </w:r>
      <w:r w:rsidR="00646681">
        <w:t xml:space="preserve">the worksheets were </w:t>
      </w:r>
      <w:r>
        <w:t xml:space="preserve">made by this </w:t>
      </w:r>
      <w:r w:rsidR="002C26D0">
        <w:t xml:space="preserve">team, </w:t>
      </w:r>
      <w:proofErr w:type="gramStart"/>
      <w:r w:rsidR="002C26D0">
        <w:t>taking into account</w:t>
      </w:r>
      <w:proofErr w:type="gramEnd"/>
      <w:r w:rsidR="002C26D0">
        <w:t xml:space="preserve"> the </w:t>
      </w:r>
      <w:r w:rsidR="00646681">
        <w:t xml:space="preserve">CPAC allocations on the </w:t>
      </w:r>
      <w:r w:rsidR="002C26D0">
        <w:t>addition</w:t>
      </w:r>
      <w:r w:rsidR="00646681">
        <w:t xml:space="preserve">al “non-core” </w:t>
      </w:r>
      <w:proofErr w:type="spellStart"/>
      <w:r w:rsidR="00646681">
        <w:t>practicals</w:t>
      </w:r>
      <w:proofErr w:type="spellEnd"/>
      <w:r w:rsidR="00646681">
        <w:t xml:space="preserve">, </w:t>
      </w:r>
      <w:r>
        <w:t xml:space="preserve">which </w:t>
      </w:r>
      <w:r w:rsidR="002C26D0">
        <w:t>also form part of the published resources.</w:t>
      </w:r>
    </w:p>
    <w:p w14:paraId="4F77E8F0" w14:textId="77777777" w:rsidR="002C26D0" w:rsidRPr="00646681" w:rsidRDefault="002C26D0">
      <w:pPr>
        <w:rPr>
          <w:b/>
        </w:rPr>
      </w:pPr>
      <w:r w:rsidRPr="00646681">
        <w:rPr>
          <w:b/>
        </w:rPr>
        <w:t>This means that the CPAC allocation does not always agree with the Edexcel tracking spreadsheet.</w:t>
      </w:r>
    </w:p>
    <w:p w14:paraId="46302E4E" w14:textId="77777777" w:rsidR="002C26D0" w:rsidRDefault="002C26D0">
      <w:r>
        <w:t>We would generally recommend that you ignore the CPAC allocation on the worksheets and use those on the tracking spreadsheet. However, the tracking spreadsheet is editable if you wish to use the CPAC allocations on the worksheets (or, indeed, any other combination</w:t>
      </w:r>
      <w:r w:rsidR="00646681">
        <w:t xml:space="preserve"> of CPAC statements</w:t>
      </w:r>
      <w:r>
        <w:t>).</w:t>
      </w:r>
    </w:p>
    <w:p w14:paraId="416D4E7D" w14:textId="77777777" w:rsidR="00AB2D38" w:rsidRPr="00AB2D38" w:rsidRDefault="00AB2D38" w:rsidP="00AB2D38">
      <w:pPr>
        <w:spacing w:after="0"/>
        <w:rPr>
          <w:sz w:val="16"/>
          <w:szCs w:val="16"/>
        </w:rPr>
      </w:pPr>
    </w:p>
    <w:p w14:paraId="1968D752" w14:textId="77777777" w:rsidR="002E7337" w:rsidRDefault="002E7337">
      <w:pPr>
        <w:rPr>
          <w:u w:val="single"/>
        </w:rPr>
      </w:pPr>
      <w:r w:rsidRPr="002E7337">
        <w:rPr>
          <w:u w:val="single"/>
        </w:rPr>
        <w:t>Changes to Core Practical worksheets</w:t>
      </w:r>
    </w:p>
    <w:p w14:paraId="66192A52" w14:textId="77777777" w:rsidR="002E7337" w:rsidRDefault="002E7337">
      <w:r>
        <w:t xml:space="preserve">As teachers have used our Core Practical worksheets with the first cohort of students, a small number of issues have arisen – either with the practical procedure itself, or </w:t>
      </w:r>
      <w:r w:rsidR="00646681">
        <w:t>through</w:t>
      </w:r>
      <w:r>
        <w:t xml:space="preserve"> a typo.</w:t>
      </w:r>
    </w:p>
    <w:p w14:paraId="6E797B34" w14:textId="77777777" w:rsidR="002E7337" w:rsidRDefault="002E7337">
      <w:r>
        <w:t>The table below shows the alterations that have been made to the Core Practical worksheets. The revised worksheets are now available online, but this list has been provided in case teachers have downloaded and stored a copy of the previous, incorrect, worksheet.</w:t>
      </w:r>
    </w:p>
    <w:tbl>
      <w:tblPr>
        <w:tblStyle w:val="TableGrid"/>
        <w:tblW w:w="0" w:type="auto"/>
        <w:tblLook w:val="04A0" w:firstRow="1" w:lastRow="0" w:firstColumn="1" w:lastColumn="0" w:noHBand="0" w:noVBand="1"/>
      </w:tblPr>
      <w:tblGrid>
        <w:gridCol w:w="1413"/>
        <w:gridCol w:w="1559"/>
        <w:gridCol w:w="6044"/>
      </w:tblGrid>
      <w:tr w:rsidR="002C26D0" w14:paraId="17732C32" w14:textId="77777777" w:rsidTr="002C26D0">
        <w:tc>
          <w:tcPr>
            <w:tcW w:w="1413" w:type="dxa"/>
          </w:tcPr>
          <w:p w14:paraId="45787DEA" w14:textId="77777777" w:rsidR="002C26D0" w:rsidRPr="00CC01E6" w:rsidRDefault="002C26D0">
            <w:pPr>
              <w:rPr>
                <w:b/>
              </w:rPr>
            </w:pPr>
            <w:r w:rsidRPr="00CC01E6">
              <w:rPr>
                <w:b/>
              </w:rPr>
              <w:t>Specification</w:t>
            </w:r>
          </w:p>
        </w:tc>
        <w:tc>
          <w:tcPr>
            <w:tcW w:w="1559" w:type="dxa"/>
          </w:tcPr>
          <w:p w14:paraId="3A8355F2" w14:textId="77777777" w:rsidR="002C26D0" w:rsidRPr="002C26D0" w:rsidRDefault="002C26D0">
            <w:pPr>
              <w:rPr>
                <w:b/>
              </w:rPr>
            </w:pPr>
            <w:r w:rsidRPr="002C26D0">
              <w:rPr>
                <w:b/>
              </w:rPr>
              <w:t>Core Practical</w:t>
            </w:r>
          </w:p>
        </w:tc>
        <w:tc>
          <w:tcPr>
            <w:tcW w:w="6044" w:type="dxa"/>
          </w:tcPr>
          <w:p w14:paraId="5B84F9E2" w14:textId="77777777" w:rsidR="002C26D0" w:rsidRPr="002C26D0" w:rsidRDefault="002C26D0">
            <w:pPr>
              <w:rPr>
                <w:b/>
              </w:rPr>
            </w:pPr>
            <w:r w:rsidRPr="002C26D0">
              <w:rPr>
                <w:b/>
              </w:rPr>
              <w:t>Correction</w:t>
            </w:r>
          </w:p>
        </w:tc>
      </w:tr>
      <w:tr w:rsidR="009257A7" w14:paraId="10CCEF22" w14:textId="77777777" w:rsidTr="002C26D0">
        <w:tc>
          <w:tcPr>
            <w:tcW w:w="1413" w:type="dxa"/>
          </w:tcPr>
          <w:p w14:paraId="38732C84" w14:textId="77777777" w:rsidR="009257A7" w:rsidRPr="00CC01E6" w:rsidRDefault="009257A7" w:rsidP="00382060">
            <w:r w:rsidRPr="00CC01E6">
              <w:t>Biology</w:t>
            </w:r>
          </w:p>
        </w:tc>
        <w:tc>
          <w:tcPr>
            <w:tcW w:w="1559" w:type="dxa"/>
          </w:tcPr>
          <w:p w14:paraId="357FA031" w14:textId="77777777" w:rsidR="009257A7" w:rsidRDefault="009257A7" w:rsidP="00646681">
            <w:pPr>
              <w:jc w:val="center"/>
            </w:pPr>
            <w:r>
              <w:t>CP10</w:t>
            </w:r>
          </w:p>
        </w:tc>
        <w:tc>
          <w:tcPr>
            <w:tcW w:w="6044" w:type="dxa"/>
          </w:tcPr>
          <w:p w14:paraId="7C314247" w14:textId="77777777" w:rsidR="00CC01E6" w:rsidRDefault="009257A7" w:rsidP="009E4F94">
            <w:r w:rsidRPr="00D579AB">
              <w:rPr>
                <w:i/>
              </w:rPr>
              <w:t>Elodea</w:t>
            </w:r>
            <w:r>
              <w:t xml:space="preserve"> and </w:t>
            </w:r>
            <w:proofErr w:type="spellStart"/>
            <w:r w:rsidRPr="00D579AB">
              <w:rPr>
                <w:i/>
              </w:rPr>
              <w:t>Cabomba</w:t>
            </w:r>
            <w:proofErr w:type="spellEnd"/>
            <w:r w:rsidRPr="00D579AB">
              <w:rPr>
                <w:i/>
              </w:rPr>
              <w:t xml:space="preserve"> </w:t>
            </w:r>
            <w:proofErr w:type="spellStart"/>
            <w:r w:rsidRPr="00D579AB">
              <w:rPr>
                <w:i/>
              </w:rPr>
              <w:t>caroliana</w:t>
            </w:r>
            <w:proofErr w:type="spellEnd"/>
            <w:r>
              <w:t xml:space="preserve"> may now be difficult to buy, as they are covered by European regulations controlling invasive non-native plants. </w:t>
            </w:r>
          </w:p>
          <w:p w14:paraId="08C88CC4" w14:textId="77777777" w:rsidR="009257A7" w:rsidRDefault="009257A7" w:rsidP="00CC01E6">
            <w:r>
              <w:t>Native plants (</w:t>
            </w:r>
            <w:r w:rsidR="009E4F94">
              <w:t>e.g</w:t>
            </w:r>
            <w:r w:rsidR="00646681">
              <w:t>.</w:t>
            </w:r>
            <w:r w:rsidR="009E4F94">
              <w:t xml:space="preserve"> Hornwort or </w:t>
            </w:r>
            <w:r>
              <w:t xml:space="preserve">red </w:t>
            </w:r>
            <w:proofErr w:type="spellStart"/>
            <w:r>
              <w:t>Cabomba</w:t>
            </w:r>
            <w:proofErr w:type="spellEnd"/>
            <w:r>
              <w:t xml:space="preserve">) can be </w:t>
            </w:r>
            <w:proofErr w:type="gramStart"/>
            <w:r>
              <w:t>used, but</w:t>
            </w:r>
            <w:proofErr w:type="gramEnd"/>
            <w:r>
              <w:t xml:space="preserve"> photosynthesise more slowly</w:t>
            </w:r>
            <w:r w:rsidR="00CC01E6">
              <w:t>. Details of an alternative method, which takes account of this, is on the revised ‘Technician sheet’.</w:t>
            </w:r>
            <w:r>
              <w:t xml:space="preserve"> </w:t>
            </w:r>
          </w:p>
        </w:tc>
      </w:tr>
      <w:tr w:rsidR="009257A7" w14:paraId="05064588" w14:textId="77777777" w:rsidTr="002C26D0">
        <w:tc>
          <w:tcPr>
            <w:tcW w:w="1413" w:type="dxa"/>
          </w:tcPr>
          <w:p w14:paraId="20FE9A1C" w14:textId="77777777" w:rsidR="009257A7" w:rsidRPr="00CC01E6" w:rsidRDefault="009257A7" w:rsidP="00382060">
            <w:r w:rsidRPr="00CC01E6">
              <w:t xml:space="preserve">Biology </w:t>
            </w:r>
          </w:p>
        </w:tc>
        <w:tc>
          <w:tcPr>
            <w:tcW w:w="1559" w:type="dxa"/>
          </w:tcPr>
          <w:p w14:paraId="626AE4D5" w14:textId="77777777" w:rsidR="009257A7" w:rsidRDefault="009257A7" w:rsidP="00646681">
            <w:pPr>
              <w:jc w:val="center"/>
            </w:pPr>
            <w:r>
              <w:t>CP12</w:t>
            </w:r>
          </w:p>
        </w:tc>
        <w:tc>
          <w:tcPr>
            <w:tcW w:w="6044" w:type="dxa"/>
          </w:tcPr>
          <w:p w14:paraId="39D9B637" w14:textId="77777777" w:rsidR="009257A7" w:rsidRDefault="009E4F94" w:rsidP="00382060">
            <w:r>
              <w:t xml:space="preserve">Guidance from The Microbiology Society </w:t>
            </w:r>
            <w:r w:rsidR="009257A7">
              <w:t xml:space="preserve">and CLEAPSS on the use of microbes in practical work has been updated. </w:t>
            </w:r>
          </w:p>
          <w:p w14:paraId="703038F7" w14:textId="77777777" w:rsidR="009257A7" w:rsidRDefault="009E4F94" w:rsidP="009E4F94">
            <w:r>
              <w:t>T</w:t>
            </w:r>
            <w:r w:rsidR="009257A7">
              <w:t>he procedure for this practical has been altered to use yeast</w:t>
            </w:r>
            <w:r>
              <w:t>, rather than bacteria,</w:t>
            </w:r>
            <w:r w:rsidR="009257A7">
              <w:t xml:space="preserve"> as the microorganism being used. This has necessitated </w:t>
            </w:r>
            <w:proofErr w:type="gramStart"/>
            <w:r>
              <w:t>a number of</w:t>
            </w:r>
            <w:proofErr w:type="gramEnd"/>
            <w:r>
              <w:t xml:space="preserve"> o</w:t>
            </w:r>
            <w:r w:rsidR="009257A7">
              <w:t xml:space="preserve">ther changes to the procedure. </w:t>
            </w:r>
          </w:p>
        </w:tc>
      </w:tr>
      <w:tr w:rsidR="009257A7" w14:paraId="38592E4B" w14:textId="77777777" w:rsidTr="002C26D0">
        <w:tc>
          <w:tcPr>
            <w:tcW w:w="1413" w:type="dxa"/>
          </w:tcPr>
          <w:p w14:paraId="5CA6382A" w14:textId="77777777" w:rsidR="009257A7" w:rsidRPr="00CC01E6" w:rsidRDefault="009257A7" w:rsidP="00382060">
            <w:r w:rsidRPr="00CC01E6">
              <w:t>Biology</w:t>
            </w:r>
          </w:p>
        </w:tc>
        <w:tc>
          <w:tcPr>
            <w:tcW w:w="1559" w:type="dxa"/>
          </w:tcPr>
          <w:p w14:paraId="6FC58137" w14:textId="77777777" w:rsidR="009257A7" w:rsidRDefault="009257A7" w:rsidP="00646681">
            <w:pPr>
              <w:jc w:val="center"/>
            </w:pPr>
            <w:r>
              <w:t>CP13</w:t>
            </w:r>
          </w:p>
        </w:tc>
        <w:tc>
          <w:tcPr>
            <w:tcW w:w="6044" w:type="dxa"/>
          </w:tcPr>
          <w:p w14:paraId="06FB12A5" w14:textId="77777777" w:rsidR="009257A7" w:rsidRDefault="009257A7" w:rsidP="004E443E">
            <w:r>
              <w:t xml:space="preserve">Guidance from </w:t>
            </w:r>
            <w:r w:rsidR="009E4F94">
              <w:t xml:space="preserve">The Microbiology Society </w:t>
            </w:r>
            <w:r>
              <w:t xml:space="preserve">and CLEAPSS on the use of microbes in practical work has been updated. </w:t>
            </w:r>
          </w:p>
          <w:p w14:paraId="6906FA90" w14:textId="77777777" w:rsidR="009E4F94" w:rsidRDefault="009257A7" w:rsidP="004E443E">
            <w:r>
              <w:t xml:space="preserve">In the light of this, the procedure for this practical has been altered so that students do not open their own plates to take samples of isolated bacterial cultures. </w:t>
            </w:r>
          </w:p>
          <w:p w14:paraId="4BC7501C" w14:textId="77777777" w:rsidR="009257A7" w:rsidRDefault="009257A7" w:rsidP="009E4F94">
            <w:r>
              <w:t xml:space="preserve">There is also a </w:t>
            </w:r>
            <w:r w:rsidR="009E4F94">
              <w:t xml:space="preserve">suggestion of the ‘Technician sheet’ for making the agar </w:t>
            </w:r>
            <w:r>
              <w:t>thicker</w:t>
            </w:r>
            <w:r w:rsidR="009E4F94">
              <w:t xml:space="preserve"> to prevent damage whilst streaking</w:t>
            </w:r>
            <w:r>
              <w:t>.</w:t>
            </w:r>
          </w:p>
        </w:tc>
      </w:tr>
      <w:tr w:rsidR="009257A7" w14:paraId="54A23A19" w14:textId="77777777" w:rsidTr="002C26D0">
        <w:tc>
          <w:tcPr>
            <w:tcW w:w="1413" w:type="dxa"/>
          </w:tcPr>
          <w:p w14:paraId="5051D135" w14:textId="77777777" w:rsidR="009257A7" w:rsidRPr="00CC01E6" w:rsidRDefault="009257A7" w:rsidP="00382060">
            <w:r w:rsidRPr="00CC01E6">
              <w:t xml:space="preserve">Biology </w:t>
            </w:r>
          </w:p>
        </w:tc>
        <w:tc>
          <w:tcPr>
            <w:tcW w:w="1559" w:type="dxa"/>
          </w:tcPr>
          <w:p w14:paraId="6DD3AF8C" w14:textId="77777777" w:rsidR="009257A7" w:rsidRDefault="009257A7" w:rsidP="00646681">
            <w:pPr>
              <w:jc w:val="center"/>
            </w:pPr>
            <w:r>
              <w:t>CP16</w:t>
            </w:r>
          </w:p>
        </w:tc>
        <w:tc>
          <w:tcPr>
            <w:tcW w:w="6044" w:type="dxa"/>
          </w:tcPr>
          <w:p w14:paraId="6D029122" w14:textId="77777777" w:rsidR="009257A7" w:rsidRDefault="009E4F94" w:rsidP="004E443E">
            <w:r>
              <w:t>Core P</w:t>
            </w:r>
            <w:r w:rsidR="009257A7">
              <w:t>ractical 1</w:t>
            </w:r>
            <w:r w:rsidR="00CC01E6">
              <w:t xml:space="preserve">6 has two different worksheets. </w:t>
            </w:r>
            <w:r w:rsidR="009257A7">
              <w:t>CP16a</w:t>
            </w:r>
            <w:r w:rsidR="00CC01E6">
              <w:t xml:space="preserve"> (which has more detailed instructions and is generally shorter to complete)</w:t>
            </w:r>
            <w:r w:rsidR="009257A7">
              <w:t xml:space="preserve"> covers the effect on distribution</w:t>
            </w:r>
            <w:r w:rsidR="00CC01E6">
              <w:t>;</w:t>
            </w:r>
            <w:r w:rsidR="009257A7">
              <w:t xml:space="preserve"> and CP16b </w:t>
            </w:r>
            <w:r w:rsidR="00CC01E6">
              <w:t xml:space="preserve">(which has less </w:t>
            </w:r>
            <w:proofErr w:type="gramStart"/>
            <w:r w:rsidR="00CC01E6">
              <w:t>guidance, and</w:t>
            </w:r>
            <w:proofErr w:type="gramEnd"/>
            <w:r w:rsidR="00CC01E6">
              <w:t xml:space="preserve"> is better for covering a wider range of CPAC skills) </w:t>
            </w:r>
            <w:r w:rsidR="009257A7">
              <w:t xml:space="preserve">covers the effect on morphology. </w:t>
            </w:r>
          </w:p>
          <w:p w14:paraId="1686A82F" w14:textId="77777777" w:rsidR="009257A7" w:rsidRDefault="009257A7" w:rsidP="004E443E">
            <w:r>
              <w:t xml:space="preserve">Ideally, students could complete both </w:t>
            </w:r>
            <w:proofErr w:type="spellStart"/>
            <w:r>
              <w:t>practicals</w:t>
            </w:r>
            <w:proofErr w:type="spellEnd"/>
            <w:r>
              <w:t>, but this may depend on time constraints and individual students’ needs for fulfilling the criteria for practical endorsement.</w:t>
            </w:r>
          </w:p>
          <w:p w14:paraId="46EEDD07" w14:textId="77777777" w:rsidR="00CC01E6" w:rsidRDefault="00CC01E6" w:rsidP="004E443E">
            <w:r>
              <w:t>Neither worksheet</w:t>
            </w:r>
            <w:r w:rsidR="00455F2C">
              <w:t xml:space="preserve"> method</w:t>
            </w:r>
            <w:r>
              <w:t xml:space="preserve"> has been altered from the original.</w:t>
            </w:r>
          </w:p>
        </w:tc>
      </w:tr>
      <w:tr w:rsidR="009257A7" w14:paraId="7AE5B978" w14:textId="77777777" w:rsidTr="002C26D0">
        <w:tc>
          <w:tcPr>
            <w:tcW w:w="1413" w:type="dxa"/>
          </w:tcPr>
          <w:p w14:paraId="6E9BA1C7" w14:textId="77777777" w:rsidR="009257A7" w:rsidRPr="00CC01E6" w:rsidRDefault="009257A7" w:rsidP="00382060"/>
        </w:tc>
        <w:tc>
          <w:tcPr>
            <w:tcW w:w="1559" w:type="dxa"/>
          </w:tcPr>
          <w:p w14:paraId="639A412F" w14:textId="77777777" w:rsidR="009257A7" w:rsidRDefault="009257A7" w:rsidP="00646681">
            <w:pPr>
              <w:jc w:val="center"/>
            </w:pPr>
          </w:p>
        </w:tc>
        <w:tc>
          <w:tcPr>
            <w:tcW w:w="6044" w:type="dxa"/>
          </w:tcPr>
          <w:p w14:paraId="2FC38583" w14:textId="77777777" w:rsidR="009257A7" w:rsidRDefault="009257A7" w:rsidP="004E443E"/>
        </w:tc>
      </w:tr>
      <w:tr w:rsidR="00AB2D38" w14:paraId="61420809" w14:textId="77777777" w:rsidTr="000B5A5D">
        <w:tc>
          <w:tcPr>
            <w:tcW w:w="1413" w:type="dxa"/>
          </w:tcPr>
          <w:p w14:paraId="5A092A5A" w14:textId="77777777" w:rsidR="00AB2D38" w:rsidRPr="00AB2D38" w:rsidRDefault="00AB2D38" w:rsidP="00382060">
            <w:r w:rsidRPr="00AB2D38">
              <w:t>Chemistry</w:t>
            </w:r>
          </w:p>
        </w:tc>
        <w:tc>
          <w:tcPr>
            <w:tcW w:w="7603" w:type="dxa"/>
            <w:gridSpan w:val="2"/>
          </w:tcPr>
          <w:p w14:paraId="2CAA9EFB" w14:textId="77777777" w:rsidR="00AB2D38" w:rsidRDefault="00AB2D38" w:rsidP="004E443E">
            <w:pPr>
              <w:rPr>
                <w:b/>
              </w:rPr>
            </w:pPr>
            <w:r w:rsidRPr="00AB2D38">
              <w:rPr>
                <w:b/>
              </w:rPr>
              <w:t xml:space="preserve">Note that, currently, none of the Chemistry worksheets covers the use of chromatography, which is Technique #3 in the mandatory list of apparatus &amp; techniques (Appendix 5c). </w:t>
            </w:r>
          </w:p>
          <w:p w14:paraId="28A1C652" w14:textId="77777777" w:rsidR="00AB2D38" w:rsidRPr="00AB2D38" w:rsidRDefault="00AB2D38" w:rsidP="004E443E">
            <w:pPr>
              <w:rPr>
                <w:b/>
              </w:rPr>
            </w:pPr>
            <w:r w:rsidRPr="00AB2D38">
              <w:rPr>
                <w:b/>
              </w:rPr>
              <w:t>Teachers are advised to include a chromatography step in any preparative practical (CP5, CP6, CP12 or CP16).</w:t>
            </w:r>
          </w:p>
        </w:tc>
      </w:tr>
      <w:tr w:rsidR="009257A7" w14:paraId="15C50F09" w14:textId="77777777" w:rsidTr="002C26D0">
        <w:tc>
          <w:tcPr>
            <w:tcW w:w="1413" w:type="dxa"/>
          </w:tcPr>
          <w:p w14:paraId="3D3B2FB7" w14:textId="77777777" w:rsidR="009257A7" w:rsidRPr="00CC01E6" w:rsidRDefault="009257A7" w:rsidP="009257A7">
            <w:r w:rsidRPr="00CC01E6">
              <w:t xml:space="preserve">Chemistry </w:t>
            </w:r>
          </w:p>
        </w:tc>
        <w:tc>
          <w:tcPr>
            <w:tcW w:w="1559" w:type="dxa"/>
          </w:tcPr>
          <w:p w14:paraId="22A24F48" w14:textId="77777777" w:rsidR="009257A7" w:rsidRDefault="009257A7" w:rsidP="00646681">
            <w:pPr>
              <w:jc w:val="center"/>
            </w:pPr>
            <w:r>
              <w:t>CP5</w:t>
            </w:r>
          </w:p>
        </w:tc>
        <w:tc>
          <w:tcPr>
            <w:tcW w:w="6044" w:type="dxa"/>
          </w:tcPr>
          <w:p w14:paraId="47C841CA" w14:textId="77777777" w:rsidR="009257A7" w:rsidRDefault="009257A7" w:rsidP="009257A7">
            <w:r>
              <w:t>The oxidation of an alcohol needs to be undertaken with great care, as the reaction can become very vigorously exothermic and some teachers have reported the contents of the flask being ejected through the top of the condenser.</w:t>
            </w:r>
          </w:p>
          <w:p w14:paraId="6890CAE8" w14:textId="77777777" w:rsidR="009257A7" w:rsidRDefault="009257A7" w:rsidP="009257A7">
            <w:r>
              <w:t xml:space="preserve">The sheet has been rewritten to reduce the reacting quantities and reduce heating of the reaction mixture. </w:t>
            </w:r>
          </w:p>
        </w:tc>
      </w:tr>
      <w:tr w:rsidR="009257A7" w14:paraId="6C63D815" w14:textId="77777777" w:rsidTr="002C26D0">
        <w:tc>
          <w:tcPr>
            <w:tcW w:w="1413" w:type="dxa"/>
          </w:tcPr>
          <w:p w14:paraId="43DE7D33" w14:textId="77777777" w:rsidR="009257A7" w:rsidRPr="00CC01E6" w:rsidRDefault="009257A7" w:rsidP="009257A7">
            <w:r w:rsidRPr="00CC01E6">
              <w:t xml:space="preserve">Chemistry </w:t>
            </w:r>
          </w:p>
        </w:tc>
        <w:tc>
          <w:tcPr>
            <w:tcW w:w="1559" w:type="dxa"/>
          </w:tcPr>
          <w:p w14:paraId="4975D875" w14:textId="77777777" w:rsidR="009257A7" w:rsidRDefault="009257A7" w:rsidP="00646681">
            <w:pPr>
              <w:jc w:val="center"/>
            </w:pPr>
            <w:r>
              <w:t>CP6</w:t>
            </w:r>
          </w:p>
        </w:tc>
        <w:tc>
          <w:tcPr>
            <w:tcW w:w="6044" w:type="dxa"/>
          </w:tcPr>
          <w:p w14:paraId="48FDCC8E" w14:textId="77777777" w:rsidR="009257A7" w:rsidRDefault="009257A7" w:rsidP="009257A7">
            <w:r>
              <w:t xml:space="preserve">The answer to Q1 on the ‘Teacher sheet’ was incorrect. </w:t>
            </w:r>
          </w:p>
          <w:p w14:paraId="4B9D4B70" w14:textId="77777777" w:rsidR="009257A7" w:rsidRDefault="009257A7" w:rsidP="009257A7">
            <w:r>
              <w:t>The revised worksheet shows the correct equation.</w:t>
            </w:r>
          </w:p>
        </w:tc>
      </w:tr>
      <w:tr w:rsidR="009257A7" w14:paraId="7DDFF4C5" w14:textId="77777777" w:rsidTr="002C26D0">
        <w:tc>
          <w:tcPr>
            <w:tcW w:w="1413" w:type="dxa"/>
          </w:tcPr>
          <w:p w14:paraId="4D659A02" w14:textId="77777777" w:rsidR="009257A7" w:rsidRPr="00CC01E6" w:rsidRDefault="009257A7" w:rsidP="009257A7">
            <w:r w:rsidRPr="00CC01E6">
              <w:t>Chemistry</w:t>
            </w:r>
          </w:p>
        </w:tc>
        <w:tc>
          <w:tcPr>
            <w:tcW w:w="1559" w:type="dxa"/>
          </w:tcPr>
          <w:p w14:paraId="4DD22CA5" w14:textId="77777777" w:rsidR="009257A7" w:rsidRDefault="009257A7" w:rsidP="00646681">
            <w:pPr>
              <w:jc w:val="center"/>
            </w:pPr>
            <w:r>
              <w:t>CP9</w:t>
            </w:r>
          </w:p>
        </w:tc>
        <w:tc>
          <w:tcPr>
            <w:tcW w:w="6044" w:type="dxa"/>
          </w:tcPr>
          <w:p w14:paraId="1307A1B1" w14:textId="77777777" w:rsidR="009257A7" w:rsidRDefault="009257A7" w:rsidP="009257A7">
            <w:r>
              <w:t xml:space="preserve">The ‘Technician sheet’ has been updated to ensure that students have sufficient ethanoic acid to repeat the titration. </w:t>
            </w:r>
          </w:p>
          <w:p w14:paraId="26D2BE6C" w14:textId="77777777" w:rsidR="009257A7" w:rsidRDefault="009257A7" w:rsidP="009257A7">
            <w:r>
              <w:t>Step 5 of the ‘Procedure’ has been altered to give the final colour of the indicator as ‘pink’, rather than ‘red’.</w:t>
            </w:r>
          </w:p>
        </w:tc>
      </w:tr>
      <w:tr w:rsidR="009257A7" w14:paraId="41DC7D23" w14:textId="77777777" w:rsidTr="002C26D0">
        <w:tc>
          <w:tcPr>
            <w:tcW w:w="1413" w:type="dxa"/>
          </w:tcPr>
          <w:p w14:paraId="13BE2AF8" w14:textId="77777777" w:rsidR="009257A7" w:rsidRPr="00CC01E6" w:rsidRDefault="009257A7" w:rsidP="009257A7">
            <w:r w:rsidRPr="00CC01E6">
              <w:t xml:space="preserve">Chemistry </w:t>
            </w:r>
          </w:p>
        </w:tc>
        <w:tc>
          <w:tcPr>
            <w:tcW w:w="1559" w:type="dxa"/>
          </w:tcPr>
          <w:p w14:paraId="01833A40" w14:textId="77777777" w:rsidR="009257A7" w:rsidRDefault="009257A7" w:rsidP="00646681">
            <w:pPr>
              <w:jc w:val="center"/>
            </w:pPr>
            <w:r>
              <w:t>CP11</w:t>
            </w:r>
          </w:p>
        </w:tc>
        <w:tc>
          <w:tcPr>
            <w:tcW w:w="6044" w:type="dxa"/>
          </w:tcPr>
          <w:p w14:paraId="225E47AC" w14:textId="77777777" w:rsidR="00AB2D38" w:rsidRDefault="009257A7" w:rsidP="009257A7">
            <w:r>
              <w:t xml:space="preserve">As iron(II) </w:t>
            </w:r>
            <w:proofErr w:type="spellStart"/>
            <w:r>
              <w:t>sulfate</w:t>
            </w:r>
            <w:proofErr w:type="spellEnd"/>
            <w:r>
              <w:t xml:space="preserve"> tablets can be hard to obtain, the original worksheet gave guidance on using tablets containing iron(II) fumarate. This guidance has been removed, as it involv</w:t>
            </w:r>
            <w:r w:rsidR="00AB2D38">
              <w:t>ed the use of concentrated HCl, which may then be oxidised by manganate ions in the titration.</w:t>
            </w:r>
          </w:p>
          <w:p w14:paraId="15F06196" w14:textId="77777777" w:rsidR="009257A7" w:rsidRDefault="009257A7" w:rsidP="009257A7">
            <w:r>
              <w:t xml:space="preserve">If iron tablets cannot be obtained, then iron(II) ammonium </w:t>
            </w:r>
            <w:proofErr w:type="spellStart"/>
            <w:r>
              <w:t>sulfate</w:t>
            </w:r>
            <w:proofErr w:type="spellEnd"/>
            <w:r>
              <w:t xml:space="preserve"> (which contains 14.3% iron by mass) can be used.</w:t>
            </w:r>
          </w:p>
        </w:tc>
      </w:tr>
      <w:tr w:rsidR="009257A7" w14:paraId="7E992B58" w14:textId="77777777" w:rsidTr="002C26D0">
        <w:tc>
          <w:tcPr>
            <w:tcW w:w="1413" w:type="dxa"/>
          </w:tcPr>
          <w:p w14:paraId="42B98E67" w14:textId="77777777" w:rsidR="009257A7" w:rsidRPr="00CC01E6" w:rsidRDefault="009257A7" w:rsidP="009257A7">
            <w:r w:rsidRPr="00CC01E6">
              <w:t xml:space="preserve">Chemistry </w:t>
            </w:r>
          </w:p>
        </w:tc>
        <w:tc>
          <w:tcPr>
            <w:tcW w:w="1559" w:type="dxa"/>
          </w:tcPr>
          <w:p w14:paraId="6398F01D" w14:textId="77777777" w:rsidR="009257A7" w:rsidRDefault="009257A7" w:rsidP="00646681">
            <w:pPr>
              <w:jc w:val="center"/>
            </w:pPr>
            <w:r>
              <w:t>CP13a</w:t>
            </w:r>
          </w:p>
        </w:tc>
        <w:tc>
          <w:tcPr>
            <w:tcW w:w="6044" w:type="dxa"/>
          </w:tcPr>
          <w:p w14:paraId="7D407B8C" w14:textId="77777777" w:rsidR="009257A7" w:rsidRDefault="009257A7" w:rsidP="009257A7">
            <w:r>
              <w:t xml:space="preserve">The text accompanying the Sample Data on the ‘Teacher sheet’ has been changed to make it clear that the reaction is </w:t>
            </w:r>
            <w:r w:rsidRPr="009257A7">
              <w:rPr>
                <w:b/>
              </w:rPr>
              <w:t>zero order</w:t>
            </w:r>
            <w:r>
              <w:t xml:space="preserve"> w.r.t iodine, not first order.</w:t>
            </w:r>
          </w:p>
          <w:p w14:paraId="2DD0A318" w14:textId="77777777" w:rsidR="009257A7" w:rsidRDefault="009257A7" w:rsidP="009257A7"/>
          <w:p w14:paraId="380DA5AA" w14:textId="77777777" w:rsidR="009257A7" w:rsidRDefault="009257A7" w:rsidP="009257A7">
            <w:r>
              <w:t xml:space="preserve">There is also a clearer warning about the hazards associated with the product of the reaction, </w:t>
            </w:r>
            <w:proofErr w:type="spellStart"/>
            <w:r>
              <w:t>iodopropanone</w:t>
            </w:r>
            <w:proofErr w:type="spellEnd"/>
            <w:r>
              <w:t>.</w:t>
            </w:r>
          </w:p>
        </w:tc>
      </w:tr>
      <w:tr w:rsidR="009257A7" w14:paraId="1239C526" w14:textId="77777777" w:rsidTr="002C26D0">
        <w:tc>
          <w:tcPr>
            <w:tcW w:w="1413" w:type="dxa"/>
          </w:tcPr>
          <w:p w14:paraId="5520BED6" w14:textId="77777777" w:rsidR="009257A7" w:rsidRPr="00CC01E6" w:rsidRDefault="009257A7" w:rsidP="009257A7">
            <w:r w:rsidRPr="00CC01E6">
              <w:t>Chemistry</w:t>
            </w:r>
          </w:p>
        </w:tc>
        <w:tc>
          <w:tcPr>
            <w:tcW w:w="1559" w:type="dxa"/>
          </w:tcPr>
          <w:p w14:paraId="6445F8EC" w14:textId="77777777" w:rsidR="009257A7" w:rsidRDefault="009257A7" w:rsidP="00646681">
            <w:pPr>
              <w:jc w:val="center"/>
            </w:pPr>
            <w:r>
              <w:t>CP13b</w:t>
            </w:r>
          </w:p>
        </w:tc>
        <w:tc>
          <w:tcPr>
            <w:tcW w:w="6044" w:type="dxa"/>
          </w:tcPr>
          <w:p w14:paraId="6B6B6620" w14:textId="77777777" w:rsidR="009257A7" w:rsidRDefault="009257A7" w:rsidP="009257A7">
            <w:r>
              <w:t>The concentration of the sodium thiosulfate solution is given as 0.05 mol dm</w:t>
            </w:r>
            <w:r w:rsidRPr="00382060">
              <w:rPr>
                <w:vertAlign w:val="superscript"/>
              </w:rPr>
              <w:t>-3</w:t>
            </w:r>
            <w:r>
              <w:t>. If you find that the reaction is very slow, then the concentration of the sodium thiosulfate can be reduced e.g. to 0.02 mol dm</w:t>
            </w:r>
            <w:r w:rsidRPr="00382060">
              <w:rPr>
                <w:vertAlign w:val="superscript"/>
              </w:rPr>
              <w:t>-3</w:t>
            </w:r>
            <w:r>
              <w:rPr>
                <w:vertAlign w:val="superscript"/>
              </w:rPr>
              <w:t xml:space="preserve"> </w:t>
            </w:r>
            <w:r>
              <w:t>or to 0.01 mol dm</w:t>
            </w:r>
            <w:r w:rsidRPr="00382060">
              <w:rPr>
                <w:vertAlign w:val="superscript"/>
              </w:rPr>
              <w:t>-3</w:t>
            </w:r>
            <w:r>
              <w:t>.</w:t>
            </w:r>
          </w:p>
        </w:tc>
      </w:tr>
      <w:tr w:rsidR="009257A7" w14:paraId="135B0377" w14:textId="77777777" w:rsidTr="002C26D0">
        <w:tc>
          <w:tcPr>
            <w:tcW w:w="1413" w:type="dxa"/>
          </w:tcPr>
          <w:p w14:paraId="4D4D0F75" w14:textId="77777777" w:rsidR="009257A7" w:rsidRPr="00CC01E6" w:rsidRDefault="009257A7" w:rsidP="009257A7">
            <w:r w:rsidRPr="00CC01E6">
              <w:t xml:space="preserve">Chemistry </w:t>
            </w:r>
          </w:p>
        </w:tc>
        <w:tc>
          <w:tcPr>
            <w:tcW w:w="1559" w:type="dxa"/>
          </w:tcPr>
          <w:p w14:paraId="2056CE60" w14:textId="77777777" w:rsidR="009257A7" w:rsidRDefault="009257A7" w:rsidP="00646681">
            <w:pPr>
              <w:jc w:val="center"/>
            </w:pPr>
            <w:r>
              <w:t>CP14</w:t>
            </w:r>
          </w:p>
        </w:tc>
        <w:tc>
          <w:tcPr>
            <w:tcW w:w="6044" w:type="dxa"/>
          </w:tcPr>
          <w:p w14:paraId="3D380EAB" w14:textId="77777777" w:rsidR="009257A7" w:rsidRDefault="009257A7" w:rsidP="009257A7">
            <w:r>
              <w:t xml:space="preserve">The final line in the Learning Tips box on the ‘Student sheet’ is incorrect. </w:t>
            </w:r>
          </w:p>
          <w:p w14:paraId="2A978F23" w14:textId="77777777" w:rsidR="009257A7" w:rsidRDefault="009257A7" w:rsidP="009257A7">
            <w:r>
              <w:t>The sign for the gradient (</w:t>
            </w:r>
            <w:proofErr w:type="spellStart"/>
            <w:r>
              <w:t>E</w:t>
            </w:r>
            <w:r w:rsidRPr="00D30B2B">
              <w:rPr>
                <w:vertAlign w:val="subscript"/>
              </w:rPr>
              <w:t>a</w:t>
            </w:r>
            <w:proofErr w:type="spellEnd"/>
            <w:r>
              <w:t>/R) for the rearranged Arrhenius equation is positive (+</w:t>
            </w:r>
            <w:proofErr w:type="spellStart"/>
            <w:r>
              <w:t>E</w:t>
            </w:r>
            <w:r w:rsidRPr="00D30B2B">
              <w:rPr>
                <w:vertAlign w:val="subscript"/>
              </w:rPr>
              <w:t>a</w:t>
            </w:r>
            <w:proofErr w:type="spellEnd"/>
            <w:r>
              <w:t xml:space="preserve">/R) (not </w:t>
            </w:r>
            <w:r w:rsidRPr="00D30B2B">
              <w:t>-</w:t>
            </w:r>
            <w:proofErr w:type="spellStart"/>
            <w:r>
              <w:t>E</w:t>
            </w:r>
            <w:r w:rsidRPr="00D30B2B">
              <w:rPr>
                <w:vertAlign w:val="subscript"/>
              </w:rPr>
              <w:t>a</w:t>
            </w:r>
            <w:proofErr w:type="spellEnd"/>
            <w:r>
              <w:t>/R as on initial worksheet).</w:t>
            </w:r>
          </w:p>
        </w:tc>
      </w:tr>
      <w:tr w:rsidR="009257A7" w14:paraId="0281B593" w14:textId="77777777" w:rsidTr="002C26D0">
        <w:tc>
          <w:tcPr>
            <w:tcW w:w="1413" w:type="dxa"/>
          </w:tcPr>
          <w:p w14:paraId="25A0A63A" w14:textId="77777777" w:rsidR="009257A7" w:rsidRPr="00CC01E6" w:rsidRDefault="009257A7" w:rsidP="009257A7">
            <w:r w:rsidRPr="00CC01E6">
              <w:t xml:space="preserve">Chemistry </w:t>
            </w:r>
          </w:p>
        </w:tc>
        <w:tc>
          <w:tcPr>
            <w:tcW w:w="1559" w:type="dxa"/>
          </w:tcPr>
          <w:p w14:paraId="1F15C92D" w14:textId="77777777" w:rsidR="009257A7" w:rsidRDefault="009257A7" w:rsidP="00646681">
            <w:pPr>
              <w:jc w:val="center"/>
            </w:pPr>
            <w:r>
              <w:t>CP15</w:t>
            </w:r>
          </w:p>
        </w:tc>
        <w:tc>
          <w:tcPr>
            <w:tcW w:w="6044" w:type="dxa"/>
          </w:tcPr>
          <w:p w14:paraId="21D38F7A" w14:textId="77777777" w:rsidR="009257A7" w:rsidRDefault="009257A7" w:rsidP="009257A7">
            <w:r>
              <w:t xml:space="preserve">Unknown A has been changed to copper(II) </w:t>
            </w:r>
            <w:proofErr w:type="spellStart"/>
            <w:r>
              <w:t>sulfate</w:t>
            </w:r>
            <w:proofErr w:type="spellEnd"/>
            <w:r w:rsidR="00646681">
              <w:t>.</w:t>
            </w:r>
          </w:p>
          <w:p w14:paraId="4C3403C7" w14:textId="77777777" w:rsidR="009257A7" w:rsidRDefault="009257A7" w:rsidP="009257A7">
            <w:r>
              <w:t>Unknown B has been changed to sodium carbonate</w:t>
            </w:r>
            <w:r w:rsidR="00646681">
              <w:t>.</w:t>
            </w:r>
          </w:p>
        </w:tc>
      </w:tr>
      <w:tr w:rsidR="009257A7" w14:paraId="5AC17DF7" w14:textId="77777777" w:rsidTr="002C26D0">
        <w:tc>
          <w:tcPr>
            <w:tcW w:w="1413" w:type="dxa"/>
          </w:tcPr>
          <w:p w14:paraId="451F786E" w14:textId="77777777" w:rsidR="009257A7" w:rsidRPr="00CC01E6" w:rsidRDefault="009257A7" w:rsidP="009257A7"/>
        </w:tc>
        <w:tc>
          <w:tcPr>
            <w:tcW w:w="1559" w:type="dxa"/>
          </w:tcPr>
          <w:p w14:paraId="635BFE5C" w14:textId="77777777" w:rsidR="009257A7" w:rsidRDefault="009257A7" w:rsidP="00646681">
            <w:pPr>
              <w:jc w:val="center"/>
            </w:pPr>
          </w:p>
        </w:tc>
        <w:tc>
          <w:tcPr>
            <w:tcW w:w="6044" w:type="dxa"/>
          </w:tcPr>
          <w:p w14:paraId="5B39FD91" w14:textId="77777777" w:rsidR="009257A7" w:rsidRDefault="009257A7" w:rsidP="009257A7"/>
        </w:tc>
      </w:tr>
      <w:tr w:rsidR="009257A7" w14:paraId="0C10EFAE" w14:textId="77777777" w:rsidTr="002C26D0">
        <w:tc>
          <w:tcPr>
            <w:tcW w:w="1413" w:type="dxa"/>
          </w:tcPr>
          <w:p w14:paraId="4C0A41D9" w14:textId="341F44B6" w:rsidR="009257A7" w:rsidRPr="00CC01E6" w:rsidRDefault="00BA46E6" w:rsidP="009257A7">
            <w:pPr>
              <w:rPr>
                <w:color w:val="FF0000"/>
              </w:rPr>
            </w:pPr>
            <w:r w:rsidRPr="00501D07">
              <w:t>Physics</w:t>
            </w:r>
          </w:p>
        </w:tc>
        <w:tc>
          <w:tcPr>
            <w:tcW w:w="1559" w:type="dxa"/>
          </w:tcPr>
          <w:p w14:paraId="408D08DC" w14:textId="4545E867" w:rsidR="009257A7" w:rsidRDefault="00BA46E6" w:rsidP="00646681">
            <w:pPr>
              <w:jc w:val="center"/>
            </w:pPr>
            <w:r>
              <w:t>CP5</w:t>
            </w:r>
          </w:p>
        </w:tc>
        <w:tc>
          <w:tcPr>
            <w:tcW w:w="6044" w:type="dxa"/>
          </w:tcPr>
          <w:p w14:paraId="7D99B064" w14:textId="5DCCC9B2" w:rsidR="009257A7" w:rsidRDefault="00296FAD" w:rsidP="009257A7">
            <w:r>
              <w:t xml:space="preserve">The sample data should give the diameter of the 36 </w:t>
            </w:r>
            <w:proofErr w:type="spellStart"/>
            <w:r>
              <w:t>swg</w:t>
            </w:r>
            <w:proofErr w:type="spellEnd"/>
            <w:r>
              <w:t xml:space="preserve"> copper wire as 1.93 x 10</w:t>
            </w:r>
            <w:r w:rsidRPr="00296FAD">
              <w:rPr>
                <w:vertAlign w:val="superscript"/>
              </w:rPr>
              <w:t>-4</w:t>
            </w:r>
            <w:r>
              <w:t xml:space="preserve"> m, leading to a value for Young modulus, E = 3.7 x 10</w:t>
            </w:r>
            <w:r>
              <w:rPr>
                <w:vertAlign w:val="superscript"/>
              </w:rPr>
              <w:t>10</w:t>
            </w:r>
            <w:r>
              <w:t xml:space="preserve"> Nm</w:t>
            </w:r>
            <w:r w:rsidRPr="00296FAD">
              <w:rPr>
                <w:vertAlign w:val="superscript"/>
              </w:rPr>
              <w:t>-</w:t>
            </w:r>
            <w:r>
              <w:rPr>
                <w:vertAlign w:val="superscript"/>
              </w:rPr>
              <w:t>2</w:t>
            </w:r>
            <w:r>
              <w:t>.</w:t>
            </w:r>
          </w:p>
        </w:tc>
      </w:tr>
      <w:tr w:rsidR="00BA46E6" w14:paraId="15B59EBD" w14:textId="77777777" w:rsidTr="002C26D0">
        <w:tc>
          <w:tcPr>
            <w:tcW w:w="1413" w:type="dxa"/>
          </w:tcPr>
          <w:p w14:paraId="4E911BE5" w14:textId="50DF038A" w:rsidR="00BA46E6" w:rsidRPr="00CC01E6" w:rsidRDefault="00BA46E6" w:rsidP="00BA46E6">
            <w:r w:rsidRPr="00CC01E6">
              <w:t xml:space="preserve">Physics </w:t>
            </w:r>
          </w:p>
        </w:tc>
        <w:tc>
          <w:tcPr>
            <w:tcW w:w="1559" w:type="dxa"/>
          </w:tcPr>
          <w:p w14:paraId="2FE7FFCD" w14:textId="1697B78D" w:rsidR="00BA46E6" w:rsidRDefault="00BA46E6" w:rsidP="00BA46E6">
            <w:pPr>
              <w:jc w:val="center"/>
            </w:pPr>
            <w:r>
              <w:t>CP11</w:t>
            </w:r>
          </w:p>
        </w:tc>
        <w:tc>
          <w:tcPr>
            <w:tcW w:w="6044" w:type="dxa"/>
          </w:tcPr>
          <w:p w14:paraId="724D2C9E" w14:textId="55695DB6" w:rsidR="00BA46E6" w:rsidRDefault="00BA46E6" w:rsidP="00BA46E6">
            <w:r>
              <w:t xml:space="preserve">The second part of the practical (with 50Hz square wave input) involves a resistor-capacitor circuit with the resistor in parallel to the capacitor. This would have no effect on the time constant, so the circuit has been changed so that the resistor is </w:t>
            </w:r>
            <w:r w:rsidRPr="009257A7">
              <w:rPr>
                <w:b/>
              </w:rPr>
              <w:t>in series</w:t>
            </w:r>
            <w:r>
              <w:t xml:space="preserve"> with the capacitor. </w:t>
            </w:r>
          </w:p>
        </w:tc>
      </w:tr>
    </w:tbl>
    <w:p w14:paraId="00C7A9BA" w14:textId="77777777" w:rsidR="00CC01E6" w:rsidRDefault="00CC01E6" w:rsidP="00CC01E6"/>
    <w:p w14:paraId="06C6EAF0" w14:textId="77777777" w:rsidR="00CC01E6" w:rsidRDefault="00CC01E6" w:rsidP="00CC01E6"/>
    <w:sectPr w:rsidR="00CC0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D0"/>
    <w:rsid w:val="001533D0"/>
    <w:rsid w:val="00296FAD"/>
    <w:rsid w:val="002C26D0"/>
    <w:rsid w:val="002E7337"/>
    <w:rsid w:val="00337169"/>
    <w:rsid w:val="00382060"/>
    <w:rsid w:val="004443EB"/>
    <w:rsid w:val="00455F2C"/>
    <w:rsid w:val="004E443E"/>
    <w:rsid w:val="00501D07"/>
    <w:rsid w:val="00646681"/>
    <w:rsid w:val="009257A7"/>
    <w:rsid w:val="00976596"/>
    <w:rsid w:val="009E4F94"/>
    <w:rsid w:val="00AB2D38"/>
    <w:rsid w:val="00BA46E6"/>
    <w:rsid w:val="00C9556C"/>
    <w:rsid w:val="00CB5429"/>
    <w:rsid w:val="00CC01E6"/>
    <w:rsid w:val="00D30B2B"/>
    <w:rsid w:val="00D579AB"/>
    <w:rsid w:val="00F4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2EE"/>
  <w15:chartTrackingRefBased/>
  <w15:docId w15:val="{D292C6EB-5913-45AE-838F-CE2914E6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8AC8-1BD9-45D0-956B-290C1E6E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Damian</dc:creator>
  <cp:keywords/>
  <dc:description/>
  <cp:lastModifiedBy>Riddle, Damian</cp:lastModifiedBy>
  <cp:revision>12</cp:revision>
  <dcterms:created xsi:type="dcterms:W3CDTF">2017-08-01T21:17:00Z</dcterms:created>
  <dcterms:modified xsi:type="dcterms:W3CDTF">2021-06-17T15:21:00Z</dcterms:modified>
</cp:coreProperties>
</file>