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62CF8" w14:textId="77777777" w:rsidR="00FD5B0C" w:rsidRPr="006B200B" w:rsidRDefault="00FD5B0C">
      <w:pPr>
        <w:pStyle w:val="BodyText"/>
        <w:rPr>
          <w:color w:val="00B050"/>
          <w:shd w:val="clear" w:color="auto" w:fill="FFFF00"/>
        </w:rPr>
      </w:pPr>
    </w:p>
    <w:p w14:paraId="27C7C724" w14:textId="77777777" w:rsidR="00FD5B0C" w:rsidRDefault="003A57B0">
      <w:pPr>
        <w:pStyle w:val="BodyText"/>
        <w:rPr>
          <w:shd w:val="clear" w:color="auto" w:fill="FFFF00"/>
        </w:rPr>
      </w:pPr>
      <w:r>
        <w:rPr>
          <w:noProof/>
          <w:lang w:val="de-DE" w:eastAsia="de-DE"/>
        </w:rPr>
        <w:drawing>
          <wp:inline distT="0" distB="0" distL="0" distR="0" wp14:anchorId="0216F4AB" wp14:editId="45B50443">
            <wp:extent cx="2276475" cy="1800225"/>
            <wp:effectExtent l="0" t="0" r="0" b="0"/>
            <wp:docPr id="1073741826" name="officeArt object" descr="Picture 1018374406"/>
            <wp:cNvGraphicFramePr/>
            <a:graphic xmlns:a="http://schemas.openxmlformats.org/drawingml/2006/main">
              <a:graphicData uri="http://schemas.openxmlformats.org/drawingml/2006/picture">
                <pic:pic xmlns:pic="http://schemas.openxmlformats.org/drawingml/2006/picture">
                  <pic:nvPicPr>
                    <pic:cNvPr id="1073741826" name="Picture 1018374406" descr="Picture 1018374406"/>
                    <pic:cNvPicPr>
                      <a:picLocks noChangeAspect="1"/>
                    </pic:cNvPicPr>
                  </pic:nvPicPr>
                  <pic:blipFill>
                    <a:blip r:embed="rId10"/>
                    <a:stretch>
                      <a:fillRect/>
                    </a:stretch>
                  </pic:blipFill>
                  <pic:spPr>
                    <a:xfrm>
                      <a:off x="0" y="0"/>
                      <a:ext cx="2276475" cy="1800225"/>
                    </a:xfrm>
                    <a:prstGeom prst="rect">
                      <a:avLst/>
                    </a:prstGeom>
                    <a:ln w="12700" cap="flat">
                      <a:noFill/>
                      <a:miter lim="400000"/>
                    </a:ln>
                    <a:effectLst/>
                  </pic:spPr>
                </pic:pic>
              </a:graphicData>
            </a:graphic>
          </wp:inline>
        </w:drawing>
      </w:r>
    </w:p>
    <w:p w14:paraId="362F6787" w14:textId="77777777" w:rsidR="00FD5B0C" w:rsidRDefault="00FD5B0C">
      <w:pPr>
        <w:pStyle w:val="BodyText"/>
        <w:rPr>
          <w:shd w:val="clear" w:color="auto" w:fill="FFFF00"/>
        </w:rPr>
      </w:pPr>
    </w:p>
    <w:p w14:paraId="53A38068" w14:textId="77777777" w:rsidR="00FD5B0C" w:rsidRDefault="00FD5B0C">
      <w:pPr>
        <w:pStyle w:val="BodyText"/>
        <w:rPr>
          <w:shd w:val="clear" w:color="auto" w:fill="FFFF00"/>
        </w:rPr>
      </w:pPr>
    </w:p>
    <w:p w14:paraId="4281F1DE" w14:textId="36496A03" w:rsidR="00FD5B0C" w:rsidRDefault="008815CE">
      <w:pPr>
        <w:pStyle w:val="Heading"/>
      </w:pPr>
      <w:r w:rsidRPr="008815CE">
        <w:t>A Level German (</w:t>
      </w:r>
      <w:r w:rsidR="003A57B0" w:rsidRPr="008815CE">
        <w:t>9</w:t>
      </w:r>
      <w:r w:rsidR="00042B08" w:rsidRPr="008815CE">
        <w:t>GN</w:t>
      </w:r>
      <w:r w:rsidR="003A57B0" w:rsidRPr="008815CE">
        <w:t>0</w:t>
      </w:r>
      <w:r w:rsidRPr="008815CE">
        <w:t>)</w:t>
      </w:r>
      <w:r w:rsidR="003A57B0">
        <w:t>– Grade characteristics</w:t>
      </w:r>
    </w:p>
    <w:p w14:paraId="0E28B48F" w14:textId="77777777" w:rsidR="00FD5B0C" w:rsidRDefault="003A57B0">
      <w:pPr>
        <w:pStyle w:val="BodyText"/>
      </w:pPr>
      <w:r>
        <w:t>On the 18</w:t>
      </w:r>
      <w:r>
        <w:rPr>
          <w:vertAlign w:val="superscript"/>
        </w:rPr>
        <w:t>th</w:t>
      </w:r>
      <w:r>
        <w:t xml:space="preserve"> of March the Secretary of state announced that the 2020 exam series in England would be cancelled to help fight the spread of Coronavirus (COVID-19). Exam boards will be contacting schools, colleges and other exam centres asking them to submit:</w:t>
      </w:r>
    </w:p>
    <w:p w14:paraId="4AA37C6F" w14:textId="77777777" w:rsidR="00FD5B0C" w:rsidRDefault="003A57B0">
      <w:pPr>
        <w:pStyle w:val="BodyText"/>
        <w:numPr>
          <w:ilvl w:val="0"/>
          <w:numId w:val="2"/>
        </w:numPr>
      </w:pPr>
      <w:r>
        <w:t>a centre assessment grade for every student in each of their subjects (the grade they would most likely to have achieved if they had sat their exams and completed any non-exam assessment)</w:t>
      </w:r>
    </w:p>
    <w:p w14:paraId="7CE987C9" w14:textId="2C37F9D0" w:rsidR="00FD5B0C" w:rsidRDefault="003A57B0">
      <w:pPr>
        <w:pStyle w:val="BodyText"/>
        <w:numPr>
          <w:ilvl w:val="0"/>
          <w:numId w:val="2"/>
        </w:numPr>
      </w:pPr>
      <w:r>
        <w:t xml:space="preserve">the rank order of students within each grade for each subject (for example, for all those students with a centre assessment grade of 5 in GCSE </w:t>
      </w:r>
      <w:r w:rsidR="008815CE">
        <w:t>maths</w:t>
      </w:r>
      <w:r>
        <w:t>, a rank order where 1 is the most secure/highest attaining student, and so on)</w:t>
      </w:r>
    </w:p>
    <w:p w14:paraId="260B2594" w14:textId="77777777" w:rsidR="00FD5B0C" w:rsidRDefault="00FD5B0C">
      <w:pPr>
        <w:pStyle w:val="BodyText"/>
      </w:pPr>
    </w:p>
    <w:p w14:paraId="14AD667A" w14:textId="77777777" w:rsidR="00FD5B0C" w:rsidRDefault="003A57B0">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5B410347" w14:textId="77777777" w:rsidR="00FD5B0C" w:rsidRDefault="00FD5B0C">
      <w:pPr>
        <w:pStyle w:val="BodyText"/>
      </w:pPr>
    </w:p>
    <w:p w14:paraId="68279408" w14:textId="77777777" w:rsidR="00FD5B0C" w:rsidRDefault="003A57B0">
      <w:pPr>
        <w:pStyle w:val="Heading3"/>
      </w:pPr>
      <w:r>
        <w:t>Holistic approach to grades</w:t>
      </w:r>
    </w:p>
    <w:p w14:paraId="5166DD8F" w14:textId="77777777" w:rsidR="00FD5B0C" w:rsidRDefault="003A57B0">
      <w:pPr>
        <w:pStyle w:val="BodyText"/>
      </w:pPr>
      <w:r>
        <w:t xml:space="preserve">You will need to grade your students using all the evidence available to you to determine what grade they would have most likely achieved had they sat the examination in the summer.  To reach this decision you and all the teaching staff will want to consider a wide range of information where it is available.  This </w:t>
      </w:r>
      <w:bookmarkStart w:id="0" w:name="_GoBack"/>
      <w:r>
        <w:t xml:space="preserve">may be through mock examinations results, non - examined assessments (NEA) and other general records </w:t>
      </w:r>
      <w:bookmarkEnd w:id="0"/>
      <w:r>
        <w:lastRenderedPageBreak/>
        <w:t>or evidence of performance across the course of study.  It is only through reviewing all evidence available that you will be able to form a holistic view of likely candidate performance based on professional judgement. </w:t>
      </w:r>
    </w:p>
    <w:p w14:paraId="724E8AF1" w14:textId="7A77772D" w:rsidR="00FD5B0C" w:rsidRPr="0068444B" w:rsidRDefault="003A57B0">
      <w:pPr>
        <w:pStyle w:val="ListBullet"/>
        <w:numPr>
          <w:ilvl w:val="0"/>
          <w:numId w:val="4"/>
        </w:numPr>
        <w:rPr>
          <w:color w:val="auto"/>
        </w:rPr>
      </w:pPr>
      <w:r>
        <w:t xml:space="preserve">Keep in mind there are lots of different ways a student could make up the marks needed to achieve a grade, a student who performs very well on paper 1 and poorly on paper 2, may achieve the same grade as a student who has a solid performance on both </w:t>
      </w:r>
      <w:r w:rsidR="00216E24">
        <w:t>p</w:t>
      </w:r>
      <w:r>
        <w:t>apers</w:t>
      </w:r>
      <w:r w:rsidR="00216E24">
        <w:t>.</w:t>
      </w:r>
      <w:r w:rsidR="00216E24">
        <w:rPr>
          <w:color w:val="00B050"/>
        </w:rPr>
        <w:t xml:space="preserve"> </w:t>
      </w:r>
    </w:p>
    <w:p w14:paraId="4A353124" w14:textId="77777777" w:rsidR="00FD5B0C" w:rsidRDefault="003A57B0">
      <w:pPr>
        <w:pStyle w:val="ListBullet"/>
        <w:numPr>
          <w:ilvl w:val="0"/>
          <w:numId w:val="4"/>
        </w:numPr>
      </w:pPr>
      <w:r>
        <w:t>We are unable to show student examples of a specific grade due to the number of ways a grade can be achieved. However, each year we release indicative grade boundaries for each paper and NEA that give an indication of a student’s performance on that part of the qualification.</w:t>
      </w:r>
    </w:p>
    <w:p w14:paraId="75AB1A00" w14:textId="21E0706A" w:rsidR="00FD5B0C" w:rsidRDefault="008815CE">
      <w:pPr>
        <w:pStyle w:val="ListBullet"/>
        <w:numPr>
          <w:ilvl w:val="0"/>
          <w:numId w:val="4"/>
        </w:numPr>
      </w:pPr>
      <w:hyperlink r:id="rId11" w:anchor="filterQuery=category:Pearson-UK:Category%2FExam-materials&amp;filterQuery=category:Pearson-UK:Document-Type%2FQuestion-paper" w:history="1">
        <w:r w:rsidR="003A57B0" w:rsidRPr="008815CE">
          <w:rPr>
            <w:rStyle w:val="Hyperlink"/>
            <w:color w:val="0070C0"/>
          </w:rPr>
          <w:t>Past papers</w:t>
        </w:r>
      </w:hyperlink>
      <w:r w:rsidR="003A57B0" w:rsidRPr="008815CE">
        <w:rPr>
          <w:color w:val="0070C0"/>
        </w:rPr>
        <w:t xml:space="preserve">, </w:t>
      </w:r>
      <w:hyperlink r:id="rId12" w:anchor="filterQuery=category:Pearson-UK:Category%2FExam-materials&amp;filterQuery=category:Pearson-UK:Document-Type%2FMark-scheme" w:history="1">
        <w:r w:rsidR="003A57B0" w:rsidRPr="008815CE">
          <w:rPr>
            <w:rStyle w:val="Hyperlink"/>
            <w:color w:val="0070C0"/>
          </w:rPr>
          <w:t>mark schemes</w:t>
        </w:r>
      </w:hyperlink>
      <w:r w:rsidR="003A57B0" w:rsidRPr="008815CE">
        <w:rPr>
          <w:color w:val="0070C0"/>
        </w:rPr>
        <w:t xml:space="preserve"> </w:t>
      </w:r>
      <w:r w:rsidR="003A57B0">
        <w:t xml:space="preserve">and </w:t>
      </w:r>
      <w:hyperlink r:id="rId13" w:history="1">
        <w:r w:rsidR="003A57B0" w:rsidRPr="008815CE">
          <w:rPr>
            <w:rStyle w:val="Hyperlink"/>
            <w:color w:val="0070C0"/>
          </w:rPr>
          <w:t>indicative grade boundaries</w:t>
        </w:r>
      </w:hyperlink>
      <w:r w:rsidR="003A57B0" w:rsidRPr="008815CE">
        <w:rPr>
          <w:color w:val="0070C0"/>
        </w:rPr>
        <w:t xml:space="preserve"> </w:t>
      </w:r>
      <w:r w:rsidR="003A57B0">
        <w:t>are available on our qualification subject pages</w:t>
      </w:r>
    </w:p>
    <w:p w14:paraId="40116FBB" w14:textId="77777777" w:rsidR="00FD5B0C" w:rsidRDefault="003A57B0">
      <w:pPr>
        <w:pStyle w:val="Heading3"/>
      </w:pPr>
      <w:r>
        <w:t>Grade Characteristics</w:t>
      </w:r>
    </w:p>
    <w:p w14:paraId="77F82AFA" w14:textId="2AD1D998" w:rsidR="00FD5B0C" w:rsidRDefault="003A57B0">
      <w:pPr>
        <w:pStyle w:val="BodyText"/>
      </w:pPr>
      <w:r>
        <w:t>We have worked closely with our senior examining team to get their expert views and review student work at key grades for</w:t>
      </w:r>
      <w:r w:rsidR="008815CE">
        <w:t xml:space="preserve"> A level German. </w:t>
      </w:r>
      <w:r>
        <w:t xml:space="preserve"> We have used this expertise to develop grade characteristics for students at Grade 7 and 4 for GCSE and International GCSE qualifications and Grade A and C for A levels and International A levels.</w:t>
      </w:r>
    </w:p>
    <w:p w14:paraId="384F93DB" w14:textId="77777777" w:rsidR="00FD5B0C" w:rsidRDefault="003A57B0">
      <w:pPr>
        <w:pStyle w:val="BodyText"/>
      </w:pPr>
      <w: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5FE8141F" w14:textId="77777777" w:rsidR="00FD5B0C" w:rsidRDefault="00FD5B0C">
      <w:pPr>
        <w:pStyle w:val="BodyText"/>
      </w:pPr>
    </w:p>
    <w:p w14:paraId="6558C1C0" w14:textId="4F955B62" w:rsidR="008815CE" w:rsidRDefault="008815CE">
      <w:pPr>
        <w:rPr>
          <w:rFonts w:ascii="Open Sans" w:eastAsia="Open Sans" w:hAnsi="Open Sans" w:cs="Open Sans"/>
          <w:color w:val="000000"/>
          <w:u w:color="000000"/>
          <w:lang w:eastAsia="en-GB"/>
        </w:rPr>
      </w:pPr>
      <w:r>
        <w:br w:type="page"/>
      </w:r>
    </w:p>
    <w:p w14:paraId="402144C8" w14:textId="6124CDFD" w:rsidR="008815CE" w:rsidRDefault="008815CE" w:rsidP="008815CE">
      <w:pPr>
        <w:pStyle w:val="Heading3"/>
        <w:rPr>
          <w:lang w:val="en-GB"/>
        </w:rPr>
      </w:pPr>
      <w:r>
        <w:rPr>
          <w:lang w:val="en-GB"/>
        </w:rPr>
        <w:lastRenderedPageBreak/>
        <w:t xml:space="preserve">A level </w:t>
      </w:r>
      <w:r>
        <w:rPr>
          <w:lang w:val="en-GB"/>
        </w:rPr>
        <w:t>German</w:t>
      </w:r>
      <w:r w:rsidRPr="001A282A">
        <w:rPr>
          <w:lang w:val="en-GB"/>
        </w:rPr>
        <w:t xml:space="preserve"> </w:t>
      </w:r>
      <w:r w:rsidRPr="56758FD5">
        <w:rPr>
          <w:lang w:val="en-GB"/>
        </w:rPr>
        <w:t xml:space="preserve">- Grade </w:t>
      </w:r>
      <w:r>
        <w:rPr>
          <w:lang w:val="en-GB"/>
        </w:rPr>
        <w:t>A</w:t>
      </w:r>
      <w:r w:rsidRPr="56758FD5">
        <w:rPr>
          <w:lang w:val="en-GB"/>
        </w:rPr>
        <w:t xml:space="preserve"> Characteristics</w:t>
      </w:r>
    </w:p>
    <w:tbl>
      <w:tblPr>
        <w:tblStyle w:val="TableGrid"/>
        <w:tblW w:w="0" w:type="auto"/>
        <w:tblInd w:w="-5" w:type="dxa"/>
        <w:tblLook w:val="04A0" w:firstRow="1" w:lastRow="0" w:firstColumn="1" w:lastColumn="0" w:noHBand="0" w:noVBand="1"/>
      </w:tblPr>
      <w:tblGrid>
        <w:gridCol w:w="2383"/>
        <w:gridCol w:w="7924"/>
      </w:tblGrid>
      <w:tr w:rsidR="008815CE" w:rsidRPr="008815CE" w14:paraId="6CE95B6F" w14:textId="77777777" w:rsidTr="008815CE">
        <w:tc>
          <w:tcPr>
            <w:tcW w:w="2383" w:type="dxa"/>
          </w:tcPr>
          <w:p w14:paraId="4A644406" w14:textId="77777777" w:rsidR="008815CE" w:rsidRPr="008815CE" w:rsidRDefault="008815CE" w:rsidP="008815CE">
            <w:pPr>
              <w:pStyle w:val="ListBullet"/>
              <w:rPr>
                <w:b/>
                <w:bCs/>
                <w:bdr w:val="none" w:sz="0" w:space="0" w:color="auto"/>
                <w:lang w:val="en-GB"/>
              </w:rPr>
            </w:pPr>
            <w:r w:rsidRPr="008815CE">
              <w:rPr>
                <w:b/>
                <w:bCs/>
                <w:bdr w:val="none" w:sz="0" w:space="0" w:color="auto"/>
                <w:lang w:val="en-GB"/>
              </w:rPr>
              <w:t>Grade A</w:t>
            </w:r>
          </w:p>
          <w:p w14:paraId="12EEC1C0" w14:textId="77777777" w:rsidR="008815CE" w:rsidRDefault="008815CE" w:rsidP="008815CE">
            <w:pPr>
              <w:pStyle w:val="ListBullet"/>
              <w:rPr>
                <w:b/>
                <w:bCs/>
                <w:bdr w:val="none" w:sz="0" w:space="0" w:color="auto"/>
                <w:lang w:val="en-GB"/>
              </w:rPr>
            </w:pPr>
            <w:r w:rsidRPr="008815CE">
              <w:rPr>
                <w:b/>
                <w:bCs/>
                <w:bdr w:val="none" w:sz="0" w:space="0" w:color="auto"/>
                <w:lang w:val="en-GB"/>
              </w:rPr>
              <w:t>Most secure</w:t>
            </w:r>
          </w:p>
          <w:p w14:paraId="03926BA1" w14:textId="7EEADB5F" w:rsidR="008815CE" w:rsidRPr="008815CE" w:rsidRDefault="008815CE" w:rsidP="008815CE">
            <w:pPr>
              <w:pStyle w:val="ListBullet"/>
              <w:rPr>
                <w:rFonts w:cs="Arial Unicode MS"/>
                <w:b/>
                <w:bCs/>
                <w:lang w:val="en-GB"/>
              </w:rPr>
            </w:pPr>
            <w:r w:rsidRPr="008815CE">
              <w:rPr>
                <w:b/>
                <w:bCs/>
                <w:bdr w:val="none" w:sz="0" w:space="0" w:color="auto"/>
                <w:lang w:val="en-GB"/>
              </w:rPr>
              <w:t xml:space="preserve"> students</w:t>
            </w:r>
          </w:p>
        </w:tc>
        <w:tc>
          <w:tcPr>
            <w:tcW w:w="7924" w:type="dxa"/>
          </w:tcPr>
          <w:p w14:paraId="7C071A58" w14:textId="2F25AB83" w:rsidR="008815CE" w:rsidRPr="00774334" w:rsidRDefault="008815CE" w:rsidP="008815CE">
            <w:pPr>
              <w:pStyle w:val="ListBullet"/>
              <w:rPr>
                <w:rFonts w:cs="Arial Unicode MS"/>
                <w:b/>
                <w:bCs/>
              </w:rPr>
            </w:pPr>
            <w:r>
              <w:rPr>
                <w:rFonts w:cs="Arial Unicode MS"/>
                <w:b/>
                <w:bCs/>
              </w:rPr>
              <w:t>Listening</w:t>
            </w:r>
            <w:r>
              <w:rPr>
                <w:rFonts w:cs="Arial Unicode MS"/>
                <w:b/>
                <w:bCs/>
              </w:rPr>
              <w:t xml:space="preserve">: </w:t>
            </w:r>
            <w:r w:rsidR="00774334">
              <w:rPr>
                <w:rFonts w:cs="Arial Unicode MS"/>
              </w:rPr>
              <w:t>T</w:t>
            </w:r>
            <w:r w:rsidRPr="00774334">
              <w:rPr>
                <w:rFonts w:cs="Arial Unicode MS"/>
              </w:rPr>
              <w:t>he most secure Grade A students score consistently well across all of the listening tasks in paper 1 (Qs 1 to 4).  They score full marks in the first question (MCQ) and select targeted information heard to demonstrate good understanding of the extended task in Q4.  They clearly adapt to different voices, genders and contexts, demonstrating familiarity with all of the prescribed themes of the specification.</w:t>
            </w:r>
          </w:p>
          <w:p w14:paraId="378A9B94" w14:textId="0D7EAAEE" w:rsidR="008815CE" w:rsidRPr="008815CE" w:rsidRDefault="008815CE" w:rsidP="008815CE">
            <w:pPr>
              <w:pStyle w:val="ListBullet"/>
              <w:rPr>
                <w:rFonts w:cs="Arial Unicode MS"/>
                <w:b/>
                <w:bCs/>
              </w:rPr>
            </w:pPr>
            <w:r>
              <w:rPr>
                <w:rFonts w:cs="Arial Unicode MS"/>
                <w:b/>
                <w:bCs/>
              </w:rPr>
              <w:t>Reading</w:t>
            </w:r>
            <w:r>
              <w:rPr>
                <w:rFonts w:cs="Arial Unicode MS"/>
                <w:b/>
                <w:bCs/>
              </w:rPr>
              <w:t xml:space="preserve">: </w:t>
            </w:r>
            <w:r w:rsidRPr="00774334">
              <w:rPr>
                <w:rFonts w:cs="Arial Unicode MS"/>
              </w:rPr>
              <w:t>The early written texts are easily handled (Paper 1, Qs 5 and 6) and, at this level, students manipulate language with ease in order to respond generally correctly and clearly to the short answer questions in Q7.  Questions 8 and 9, longer texts, taken from a historical or literary source, are generally well answered though there will be elements of challenge which only the very best will manage. Grade A students draw inferences from a text to answer challenging questions. They will read carefully to extract detail and deeper meaning.</w:t>
            </w:r>
          </w:p>
          <w:p w14:paraId="3E0AD6EA" w14:textId="31A9A560" w:rsidR="008815CE" w:rsidRPr="00774334" w:rsidRDefault="008815CE" w:rsidP="00774334">
            <w:pPr>
              <w:pStyle w:val="ListBullet"/>
              <w:rPr>
                <w:rFonts w:cs="Arial Unicode MS"/>
                <w:b/>
                <w:bCs/>
              </w:rPr>
            </w:pPr>
            <w:r w:rsidRPr="008815CE">
              <w:rPr>
                <w:rFonts w:cs="Arial Unicode MS"/>
                <w:b/>
                <w:bCs/>
              </w:rPr>
              <w:t>Written response to works</w:t>
            </w:r>
            <w:r>
              <w:rPr>
                <w:rFonts w:cs="Arial Unicode MS"/>
                <w:b/>
                <w:bCs/>
              </w:rPr>
              <w:t xml:space="preserve">: </w:t>
            </w:r>
            <w:r w:rsidRPr="008815CE">
              <w:rPr>
                <w:rFonts w:cs="Arial Unicode MS"/>
                <w:b/>
                <w:bCs/>
              </w:rPr>
              <w:t xml:space="preserve"> </w:t>
            </w:r>
            <w:r w:rsidRPr="00774334">
              <w:rPr>
                <w:rFonts w:cs="Arial Unicode MS"/>
              </w:rPr>
              <w:t xml:space="preserve">The language is sophisticated and highly </w:t>
            </w:r>
            <w:r w:rsidR="007112F8" w:rsidRPr="00774334">
              <w:rPr>
                <w:rFonts w:cs="Arial Unicode MS"/>
              </w:rPr>
              <w:t>accurate;</w:t>
            </w:r>
            <w:r w:rsidRPr="00774334">
              <w:rPr>
                <w:rFonts w:cs="Arial Unicode MS"/>
              </w:rPr>
              <w:t xml:space="preserve"> students use terminology appropriate to the context.  </w:t>
            </w:r>
            <w:r w:rsidR="00774334">
              <w:rPr>
                <w:rFonts w:cs="Arial Unicode MS"/>
              </w:rPr>
              <w:t>For e</w:t>
            </w:r>
            <w:r w:rsidRPr="00774334">
              <w:rPr>
                <w:rFonts w:cs="Arial Unicode MS"/>
              </w:rPr>
              <w:t xml:space="preserve">xample: </w:t>
            </w:r>
            <w:r w:rsidR="00774334">
              <w:rPr>
                <w:rFonts w:cs="Arial Unicode MS"/>
              </w:rPr>
              <w:t>‘</w:t>
            </w:r>
            <w:r w:rsidRPr="00774334">
              <w:rPr>
                <w:rFonts w:cs="Arial Unicode MS"/>
              </w:rPr>
              <w:t>…</w:t>
            </w:r>
            <w:r w:rsidRPr="00774334">
              <w:rPr>
                <w:rFonts w:cs="Arial Unicode MS"/>
                <w:i/>
                <w:iCs/>
              </w:rPr>
              <w:t xml:space="preserve">ist es offensichtlich, dass die Themen sehr </w:t>
            </w:r>
            <w:proofErr w:type="spellStart"/>
            <w:r w:rsidRPr="00774334">
              <w:rPr>
                <w:rFonts w:cs="Arial Unicode MS"/>
                <w:i/>
                <w:iCs/>
              </w:rPr>
              <w:t>eng</w:t>
            </w:r>
            <w:proofErr w:type="spellEnd"/>
            <w:r w:rsidRPr="00774334">
              <w:rPr>
                <w:rFonts w:cs="Arial Unicode MS"/>
                <w:i/>
                <w:iCs/>
              </w:rPr>
              <w:t xml:space="preserve"> </w:t>
            </w:r>
            <w:proofErr w:type="spellStart"/>
            <w:r w:rsidRPr="00774334">
              <w:rPr>
                <w:rFonts w:cs="Arial Unicode MS"/>
                <w:i/>
                <w:iCs/>
              </w:rPr>
              <w:t>miteinander</w:t>
            </w:r>
            <w:proofErr w:type="spellEnd"/>
            <w:r w:rsidRPr="00774334">
              <w:rPr>
                <w:rFonts w:cs="Arial Unicode MS"/>
                <w:i/>
                <w:iCs/>
              </w:rPr>
              <w:t xml:space="preserve"> </w:t>
            </w:r>
            <w:proofErr w:type="spellStart"/>
            <w:r w:rsidRPr="00774334">
              <w:rPr>
                <w:rFonts w:cs="Arial Unicode MS"/>
                <w:i/>
                <w:iCs/>
              </w:rPr>
              <w:t>verbunden</w:t>
            </w:r>
            <w:proofErr w:type="spellEnd"/>
            <w:r w:rsidRPr="00774334">
              <w:rPr>
                <w:rFonts w:cs="Arial Unicode MS"/>
                <w:i/>
                <w:iCs/>
              </w:rPr>
              <w:t xml:space="preserve"> </w:t>
            </w:r>
            <w:r w:rsidR="007112F8" w:rsidRPr="00774334">
              <w:rPr>
                <w:rFonts w:cs="Arial Unicode MS"/>
                <w:i/>
                <w:iCs/>
              </w:rPr>
              <w:t>sind...</w:t>
            </w:r>
            <w:r w:rsidRPr="00774334">
              <w:rPr>
                <w:rFonts w:cs="Arial Unicode MS"/>
                <w:i/>
                <w:iCs/>
              </w:rPr>
              <w:t xml:space="preserve">obwohl dies der </w:t>
            </w:r>
            <w:proofErr w:type="spellStart"/>
            <w:r w:rsidRPr="00774334">
              <w:rPr>
                <w:rFonts w:cs="Arial Unicode MS"/>
                <w:i/>
                <w:iCs/>
              </w:rPr>
              <w:t>Wahrheit</w:t>
            </w:r>
            <w:proofErr w:type="spellEnd"/>
            <w:r w:rsidRPr="00774334">
              <w:rPr>
                <w:rFonts w:cs="Arial Unicode MS"/>
                <w:i/>
                <w:iCs/>
              </w:rPr>
              <w:t xml:space="preserve"> nicht immer entspricht…Hanna, die auch dieser Generation gehört, wird so dargestellt, dass der Leser….Wie man später erfährt…und das Zeigt nicht nur….sondern auch wie Bedeutend die Themen sind.</w:t>
            </w:r>
            <w:r w:rsidR="00774334">
              <w:rPr>
                <w:rFonts w:cs="Arial Unicode MS"/>
                <w:i/>
                <w:iCs/>
              </w:rPr>
              <w:t xml:space="preserve">’  </w:t>
            </w:r>
            <w:r w:rsidRPr="00774334">
              <w:rPr>
                <w:rFonts w:cs="Arial Unicode MS"/>
              </w:rPr>
              <w:t xml:space="preserve"> Both structures and vocabulary are varied and there is no difficulty in following the arguments made. It is worth noting that for essays at all levels on this paper over half the marks are awarded for the quality of language.  The most secure Grade A students offer very convincing interpretations of the literary work or film; they demonstrate close knowledge of the work and understanding of the form through relevant evidence.  Analysis is made through logical and well supported argument. The essays are analytical, although narrative and description are used but only to support arguments with entirely appropriate illustration from the text or film. The Paper 2 essays are convincing</w:t>
            </w:r>
            <w:r w:rsidR="00774334">
              <w:rPr>
                <w:rFonts w:cs="Arial Unicode MS"/>
              </w:rPr>
              <w:t>,</w:t>
            </w:r>
            <w:r w:rsidRPr="00774334">
              <w:rPr>
                <w:rFonts w:cs="Arial Unicode MS"/>
              </w:rPr>
              <w:t xml:space="preserve"> and achievement is comparable across the two.</w:t>
            </w:r>
          </w:p>
          <w:p w14:paraId="7744B059" w14:textId="39613292" w:rsidR="008815CE" w:rsidRPr="00774334" w:rsidRDefault="008815CE" w:rsidP="00774334">
            <w:pPr>
              <w:pStyle w:val="ListBullet"/>
              <w:rPr>
                <w:rFonts w:cs="Arial Unicode MS"/>
                <w:b/>
                <w:bCs/>
              </w:rPr>
            </w:pPr>
            <w:r w:rsidRPr="008815CE">
              <w:rPr>
                <w:rFonts w:cs="Arial Unicode MS"/>
                <w:b/>
                <w:bCs/>
              </w:rPr>
              <w:t>Speaking</w:t>
            </w:r>
            <w:r>
              <w:rPr>
                <w:rFonts w:cs="Arial Unicode MS"/>
                <w:b/>
                <w:bCs/>
              </w:rPr>
              <w:t xml:space="preserve">: </w:t>
            </w:r>
            <w:r w:rsidRPr="00774334">
              <w:rPr>
                <w:rFonts w:cs="Arial Unicode MS"/>
              </w:rPr>
              <w:t>The best Grade A students demonstrate a very good and perceptive  level of Knowledge and Understanding of society and culture in Germany or (Theme 2) another German speaking community (Tasks 1 and 2)</w:t>
            </w:r>
            <w:r w:rsidR="00774334">
              <w:rPr>
                <w:rFonts w:cs="Arial Unicode MS"/>
              </w:rPr>
              <w:t>.</w:t>
            </w:r>
            <w:r w:rsidRPr="00774334">
              <w:rPr>
                <w:rFonts w:cs="Arial Unicode MS"/>
              </w:rPr>
              <w:t xml:space="preserve"> They respond easily in discussing areas covering the sub-themes of the overall theme chosen by the candidate; they give informed opinion or evaluation of an issue whilst also able to engage in natural discourse with the examiner.  Language is varied and appropriate to the context, including some specific or technical language and discourse markers; communication is always articulate</w:t>
            </w:r>
            <w:r w:rsidR="00774334">
              <w:rPr>
                <w:rFonts w:cs="Arial Unicode MS"/>
              </w:rPr>
              <w:t>,</w:t>
            </w:r>
            <w:r w:rsidRPr="00774334">
              <w:rPr>
                <w:rFonts w:cs="Arial Unicode MS"/>
              </w:rPr>
              <w:t xml:space="preserve"> and communication is maintained throughout.</w:t>
            </w:r>
          </w:p>
          <w:p w14:paraId="2CCDC41D" w14:textId="0577D7DD" w:rsidR="008815CE" w:rsidRPr="008815CE" w:rsidRDefault="008815CE" w:rsidP="00774334">
            <w:pPr>
              <w:pStyle w:val="ListBullet"/>
              <w:rPr>
                <w:rFonts w:cs="Arial Unicode MS"/>
              </w:rPr>
            </w:pPr>
            <w:r w:rsidRPr="008815CE">
              <w:rPr>
                <w:rFonts w:cs="Arial Unicode MS"/>
                <w:b/>
                <w:bCs/>
              </w:rPr>
              <w:lastRenderedPageBreak/>
              <w:t>Translation</w:t>
            </w:r>
            <w:r w:rsidRPr="00774334">
              <w:rPr>
                <w:rFonts w:cs="Arial Unicode MS"/>
                <w:b/>
                <w:bCs/>
              </w:rPr>
              <w:t xml:space="preserve">: </w:t>
            </w:r>
            <w:r w:rsidRPr="00774334">
              <w:rPr>
                <w:rFonts w:cs="Arial Unicode MS"/>
              </w:rPr>
              <w:t>The most secure students demonstrate confident translation skills.  They give a very strong translation from German to English, showing excellent knowledge of vocabulary and understanding of idiomatic language. (Paper 1, Q10)</w:t>
            </w:r>
            <w:r w:rsidR="00774334">
              <w:rPr>
                <w:rFonts w:cs="Arial Unicode MS"/>
              </w:rPr>
              <w:t>.  T</w:t>
            </w:r>
            <w:r w:rsidRPr="00774334">
              <w:rPr>
                <w:rFonts w:cs="Arial Unicode MS"/>
              </w:rPr>
              <w:t>ranslation from English to German is highly accurate and more complex structures are likely to be successful (Paper 2, Q1). In the 2019 paper 1, there was a particularly tricky element of tense to translate, where the future tense was combined with a modal verb – (</w:t>
            </w:r>
            <w:r w:rsidRPr="00774334">
              <w:rPr>
                <w:rFonts w:cs="Arial Unicode MS"/>
                <w:i/>
                <w:iCs/>
              </w:rPr>
              <w:t>Menschen werden….arbeiten können</w:t>
            </w:r>
            <w:r w:rsidRPr="00774334">
              <w:rPr>
                <w:rFonts w:cs="Arial Unicode MS"/>
              </w:rPr>
              <w:t xml:space="preserve">).  In the translation into German in paper 2 Q1, the adjectival noun required to translate </w:t>
            </w:r>
            <w:r w:rsidR="00774334">
              <w:rPr>
                <w:rFonts w:cs="Arial Unicode MS"/>
              </w:rPr>
              <w:t>‘</w:t>
            </w:r>
            <w:r w:rsidRPr="00774334">
              <w:rPr>
                <w:rFonts w:cs="Arial Unicode MS"/>
              </w:rPr>
              <w:t>something interesting</w:t>
            </w:r>
            <w:r w:rsidR="00774334">
              <w:rPr>
                <w:rFonts w:cs="Arial Unicode MS"/>
              </w:rPr>
              <w:t>’</w:t>
            </w:r>
            <w:r w:rsidRPr="00774334">
              <w:rPr>
                <w:rFonts w:cs="Arial Unicode MS"/>
              </w:rPr>
              <w:t xml:space="preserve"> is an indication of candidates who are secure at the top grades. Also, element 13, which required a sound knowledge of dual case prepositions and case endings, the tense of the verb in the </w:t>
            </w:r>
            <w:r w:rsidR="00774334">
              <w:rPr>
                <w:rFonts w:cs="Arial Unicode MS"/>
              </w:rPr>
              <w:t>‘</w:t>
            </w:r>
            <w:r w:rsidRPr="00774334">
              <w:rPr>
                <w:rFonts w:cs="Arial Unicode MS"/>
              </w:rPr>
              <w:t>if</w:t>
            </w:r>
            <w:r w:rsidR="00774334">
              <w:rPr>
                <w:rFonts w:cs="Arial Unicode MS"/>
              </w:rPr>
              <w:t xml:space="preserve">’ </w:t>
            </w:r>
            <w:r w:rsidRPr="00774334">
              <w:rPr>
                <w:rFonts w:cs="Arial Unicode MS"/>
              </w:rPr>
              <w:t xml:space="preserve">clause in element 17 as well as the preposition and cases endings required for element 20 </w:t>
            </w:r>
            <w:r w:rsidR="00774334">
              <w:rPr>
                <w:rFonts w:cs="Arial Unicode MS"/>
              </w:rPr>
              <w:t>‘</w:t>
            </w:r>
            <w:r w:rsidRPr="00774334">
              <w:rPr>
                <w:rFonts w:cs="Arial Unicode MS"/>
              </w:rPr>
              <w:t>in unusual locations around the town</w:t>
            </w:r>
            <w:r w:rsidR="00774334">
              <w:rPr>
                <w:rFonts w:cs="Arial Unicode MS"/>
              </w:rPr>
              <w:t xml:space="preserve">’. </w:t>
            </w:r>
            <w:r w:rsidRPr="00774334">
              <w:rPr>
                <w:rFonts w:cs="Arial Unicode MS"/>
              </w:rPr>
              <w:t xml:space="preserve"> Candidates who routinely get these complex points of grammar correct are most secure at this level.</w:t>
            </w:r>
          </w:p>
        </w:tc>
      </w:tr>
      <w:tr w:rsidR="008815CE" w:rsidRPr="008815CE" w14:paraId="2D9A1878" w14:textId="77777777" w:rsidTr="008815CE">
        <w:tc>
          <w:tcPr>
            <w:tcW w:w="2383" w:type="dxa"/>
          </w:tcPr>
          <w:p w14:paraId="4F65956E" w14:textId="77777777" w:rsidR="008815CE" w:rsidRPr="008815CE" w:rsidRDefault="008815CE" w:rsidP="008815CE">
            <w:pPr>
              <w:pStyle w:val="ListBullet"/>
              <w:rPr>
                <w:b/>
                <w:bCs/>
                <w:bdr w:val="none" w:sz="0" w:space="0" w:color="auto"/>
                <w:lang w:val="en-GB"/>
              </w:rPr>
            </w:pPr>
            <w:r w:rsidRPr="008815CE">
              <w:rPr>
                <w:b/>
                <w:bCs/>
                <w:bdr w:val="none" w:sz="0" w:space="0" w:color="auto"/>
                <w:lang w:val="en-GB"/>
              </w:rPr>
              <w:t>Grade A</w:t>
            </w:r>
          </w:p>
          <w:p w14:paraId="07226A37" w14:textId="77777777" w:rsidR="008815CE" w:rsidRPr="008815CE" w:rsidRDefault="008815CE" w:rsidP="008815CE">
            <w:pPr>
              <w:pStyle w:val="ListBullet"/>
              <w:rPr>
                <w:rFonts w:cs="Arial Unicode MS"/>
                <w:lang w:val="en-GB"/>
              </w:rPr>
            </w:pPr>
            <w:r w:rsidRPr="008815CE">
              <w:rPr>
                <w:b/>
                <w:bCs/>
                <w:bdr w:val="none" w:sz="0" w:space="0" w:color="auto"/>
                <w:lang w:val="en-GB"/>
              </w:rPr>
              <w:t>Secure students</w:t>
            </w:r>
          </w:p>
        </w:tc>
        <w:tc>
          <w:tcPr>
            <w:tcW w:w="7924" w:type="dxa"/>
          </w:tcPr>
          <w:p w14:paraId="3E971A7E" w14:textId="77777777" w:rsidR="008815CE" w:rsidRPr="008815CE" w:rsidRDefault="008815CE" w:rsidP="008815CE">
            <w:pPr>
              <w:pStyle w:val="ListBullet"/>
              <w:rPr>
                <w:rFonts w:cs="Arial Unicode MS"/>
                <w:b/>
                <w:bCs/>
              </w:rPr>
            </w:pPr>
            <w:r w:rsidRPr="008815CE">
              <w:rPr>
                <w:rFonts w:cs="Arial Unicode MS"/>
                <w:b/>
                <w:bCs/>
              </w:rPr>
              <w:t xml:space="preserve">Listening. </w:t>
            </w:r>
            <w:r w:rsidRPr="008815CE">
              <w:rPr>
                <w:rFonts w:cs="Arial Unicode MS"/>
              </w:rPr>
              <w:t>The secure Grade A students are confident in responding to listening tasks (Paper 1) and are likely to score full marks on Q1.   Short answer questions are generally well done, though Q3 may challenge. Candidates listen to the text and read the questions carefully, demonstrating understanding of specific detail.   Q4 - short answer (4a) followed by summary (4b) differentiates well, though some students will give too much superfluous information for a summary.</w:t>
            </w:r>
          </w:p>
          <w:p w14:paraId="466A98E0" w14:textId="0FB672BB" w:rsidR="008815CE" w:rsidRPr="008815CE" w:rsidRDefault="008815CE" w:rsidP="008815CE">
            <w:pPr>
              <w:pStyle w:val="ListBullet"/>
              <w:rPr>
                <w:rFonts w:cs="Arial Unicode MS"/>
                <w:b/>
                <w:bCs/>
              </w:rPr>
            </w:pPr>
            <w:r w:rsidRPr="008815CE">
              <w:rPr>
                <w:rFonts w:cs="Arial Unicode MS"/>
                <w:b/>
                <w:bCs/>
              </w:rPr>
              <w:t>Reading</w:t>
            </w:r>
            <w:r w:rsidR="00774334">
              <w:rPr>
                <w:rFonts w:cs="Arial Unicode MS"/>
                <w:b/>
                <w:bCs/>
              </w:rPr>
              <w:t xml:space="preserve">: </w:t>
            </w:r>
            <w:r w:rsidRPr="008815CE">
              <w:rPr>
                <w:rFonts w:cs="Arial Unicode MS"/>
                <w:b/>
                <w:bCs/>
              </w:rPr>
              <w:t xml:space="preserve"> </w:t>
            </w:r>
            <w:r w:rsidRPr="008815CE">
              <w:rPr>
                <w:rFonts w:cs="Arial Unicode MS"/>
              </w:rPr>
              <w:t>These students read carefully and focus on text which is relevant to the question.  They achieve well in Q5 (Paper1) and written German is adequate for clear answers to short answer questions Qs 6-9.  The style of the longer texts, Qs 8 and 9, differentiates the secure candidate from the very best and some inference marks may be missed.</w:t>
            </w:r>
            <w:r w:rsidRPr="008815CE">
              <w:rPr>
                <w:rFonts w:cs="Arial Unicode MS"/>
                <w:b/>
                <w:bCs/>
              </w:rPr>
              <w:t xml:space="preserve"> </w:t>
            </w:r>
          </w:p>
          <w:p w14:paraId="44D3EE99" w14:textId="61A0E39E" w:rsidR="008815CE" w:rsidRPr="008815CE" w:rsidRDefault="008815CE" w:rsidP="008815CE">
            <w:pPr>
              <w:pStyle w:val="ListBullet"/>
              <w:rPr>
                <w:rFonts w:cs="Arial Unicode MS"/>
                <w:b/>
                <w:bCs/>
              </w:rPr>
            </w:pPr>
            <w:r w:rsidRPr="008815CE">
              <w:rPr>
                <w:rFonts w:cs="Arial Unicode MS"/>
                <w:b/>
                <w:bCs/>
              </w:rPr>
              <w:t>Written response to works</w:t>
            </w:r>
            <w:r w:rsidR="00774334">
              <w:rPr>
                <w:rFonts w:cs="Arial Unicode MS"/>
                <w:b/>
                <w:bCs/>
              </w:rPr>
              <w:t xml:space="preserve">: </w:t>
            </w:r>
            <w:r w:rsidRPr="008815CE">
              <w:rPr>
                <w:rFonts w:cs="Arial Unicode MS"/>
              </w:rPr>
              <w:t>The secure Grade A students demonstrate good knowledge of the works studied and demonstrate their ability to analyse with frequent and generally relevant reference to the works.   Paper 2 essays are logical and the argument generally easy to follow.  Interpretative analysis is usually convincing.  Students’ language is adequate to the task, articulate and includes some variety of expression.  Any minor inaccuracies do not impede comprehension.</w:t>
            </w:r>
          </w:p>
          <w:p w14:paraId="59CDC064" w14:textId="0271ABB1" w:rsidR="008815CE" w:rsidRPr="008815CE" w:rsidRDefault="008815CE" w:rsidP="008815CE">
            <w:pPr>
              <w:pStyle w:val="ListBullet"/>
              <w:rPr>
                <w:rFonts w:cs="Arial Unicode MS"/>
                <w:b/>
                <w:bCs/>
              </w:rPr>
            </w:pPr>
            <w:r w:rsidRPr="008815CE">
              <w:rPr>
                <w:rFonts w:cs="Arial Unicode MS"/>
                <w:b/>
                <w:bCs/>
              </w:rPr>
              <w:t>Speaking</w:t>
            </w:r>
            <w:r w:rsidR="00774334">
              <w:rPr>
                <w:rFonts w:cs="Arial Unicode MS"/>
                <w:b/>
                <w:bCs/>
              </w:rPr>
              <w:t xml:space="preserve">: </w:t>
            </w:r>
            <w:r w:rsidRPr="008815CE">
              <w:rPr>
                <w:rFonts w:cs="Arial Unicode MS"/>
                <w:b/>
                <w:bCs/>
              </w:rPr>
              <w:t xml:space="preserve"> </w:t>
            </w:r>
            <w:r w:rsidRPr="008815CE">
              <w:rPr>
                <w:rFonts w:cs="Arial Unicode MS"/>
              </w:rPr>
              <w:t>These students offer relevant knowledge and considered understanding of Germany or (Theme 2) another German speaking community; their research is firmly rooted in that area and remains focused. (Paper 3, Task 2, parts 1 and 2).  Language is secure and confident and at a good level of complexity; consistently accurate.</w:t>
            </w:r>
          </w:p>
          <w:p w14:paraId="10BC9483" w14:textId="5C9F3CE0" w:rsidR="008815CE" w:rsidRPr="008815CE" w:rsidRDefault="007112F8" w:rsidP="008815CE">
            <w:pPr>
              <w:pStyle w:val="ListBullet"/>
              <w:rPr>
                <w:rFonts w:cs="Arial Unicode MS"/>
              </w:rPr>
            </w:pPr>
            <w:r w:rsidRPr="008815CE">
              <w:rPr>
                <w:rFonts w:cs="Arial Unicode MS"/>
                <w:b/>
                <w:bCs/>
              </w:rPr>
              <w:lastRenderedPageBreak/>
              <w:t>Translation</w:t>
            </w:r>
            <w:r>
              <w:rPr>
                <w:rFonts w:cs="Arial Unicode MS"/>
                <w:b/>
                <w:bCs/>
              </w:rPr>
              <w:t>:</w:t>
            </w:r>
            <w:r w:rsidRPr="008815CE">
              <w:rPr>
                <w:rFonts w:cs="Arial Unicode MS"/>
              </w:rPr>
              <w:t xml:space="preserve"> The</w:t>
            </w:r>
            <w:r w:rsidR="008815CE" w:rsidRPr="008815CE">
              <w:rPr>
                <w:rFonts w:cs="Arial Unicode MS"/>
              </w:rPr>
              <w:t xml:space="preserve"> secure Grade A students give a strong rendition of the translation from German to English with few areas of uncertainty in their translation. From 2019: </w:t>
            </w:r>
            <w:r w:rsidR="00774334">
              <w:rPr>
                <w:rFonts w:cs="Arial Unicode MS"/>
              </w:rPr>
              <w:t>‘</w:t>
            </w:r>
            <w:r w:rsidR="008815CE" w:rsidRPr="00774334">
              <w:rPr>
                <w:rFonts w:cs="Arial Unicode MS"/>
                <w:i/>
                <w:iCs/>
              </w:rPr>
              <w:t>Der Einsatz von Robotern in der deutschen Industrie ist zwischen 2012 und 2014 um 9% gestiegen. Jedoch glauben die meisten Beschäftigten nicht, dass Arbeitskräfte aufgrund technischen Fortschritts ersetzt werden</w:t>
            </w:r>
            <w:r w:rsidR="008815CE" w:rsidRPr="008815CE">
              <w:rPr>
                <w:rFonts w:cs="Arial Unicode MS"/>
              </w:rPr>
              <w:t>.</w:t>
            </w:r>
            <w:r w:rsidR="00774334">
              <w:rPr>
                <w:rFonts w:cs="Arial Unicode MS"/>
              </w:rPr>
              <w:t xml:space="preserve">’ </w:t>
            </w:r>
            <w:r w:rsidR="008815CE" w:rsidRPr="008815CE">
              <w:rPr>
                <w:rFonts w:cs="Arial Unicode MS"/>
              </w:rPr>
              <w:t xml:space="preserve">was a good indicator of linguistic confidence at the top end of ability, and candidates who are able to translate most of this section well are likely to be secure at </w:t>
            </w:r>
            <w:r w:rsidR="00774334">
              <w:rPr>
                <w:rFonts w:cs="Arial Unicode MS"/>
              </w:rPr>
              <w:t>G</w:t>
            </w:r>
            <w:r w:rsidR="008815CE" w:rsidRPr="008815CE">
              <w:rPr>
                <w:rFonts w:cs="Arial Unicode MS"/>
              </w:rPr>
              <w:t>rade A</w:t>
            </w:r>
            <w:r w:rsidR="00774334">
              <w:rPr>
                <w:rFonts w:cs="Arial Unicode MS"/>
              </w:rPr>
              <w:t xml:space="preserve"> </w:t>
            </w:r>
            <w:r w:rsidR="008815CE" w:rsidRPr="008815CE">
              <w:rPr>
                <w:rFonts w:cs="Arial Unicode MS"/>
              </w:rPr>
              <w:t>(Paper 1, Q10)</w:t>
            </w:r>
            <w:r w:rsidR="00774334">
              <w:rPr>
                <w:rFonts w:cs="Arial Unicode MS"/>
              </w:rPr>
              <w:t xml:space="preserve">.  </w:t>
            </w:r>
            <w:r w:rsidR="008815CE" w:rsidRPr="008815CE">
              <w:rPr>
                <w:rFonts w:cs="Arial Unicode MS"/>
              </w:rPr>
              <w:t>They should score over half marks when translating from English to German (Paper 2, Q1).</w:t>
            </w:r>
          </w:p>
        </w:tc>
      </w:tr>
      <w:tr w:rsidR="008815CE" w:rsidRPr="008815CE" w14:paraId="276901F0" w14:textId="77777777" w:rsidTr="008815CE">
        <w:tc>
          <w:tcPr>
            <w:tcW w:w="2383" w:type="dxa"/>
          </w:tcPr>
          <w:p w14:paraId="0BA973E3" w14:textId="77777777" w:rsidR="008815CE" w:rsidRPr="008815CE" w:rsidRDefault="008815CE" w:rsidP="008815CE">
            <w:pPr>
              <w:pStyle w:val="ListBullet"/>
              <w:rPr>
                <w:b/>
                <w:bCs/>
                <w:bdr w:val="none" w:sz="0" w:space="0" w:color="auto"/>
                <w:lang w:val="en-GB"/>
              </w:rPr>
            </w:pPr>
            <w:r w:rsidRPr="008815CE">
              <w:rPr>
                <w:b/>
                <w:bCs/>
                <w:bdr w:val="none" w:sz="0" w:space="0" w:color="auto"/>
                <w:lang w:val="en-GB"/>
              </w:rPr>
              <w:t>Grade A</w:t>
            </w:r>
          </w:p>
          <w:p w14:paraId="7ECF7918" w14:textId="77777777" w:rsidR="008815CE" w:rsidRPr="008815CE" w:rsidRDefault="008815CE" w:rsidP="008815CE">
            <w:pPr>
              <w:pStyle w:val="ListBullet"/>
              <w:rPr>
                <w:rFonts w:cs="Arial Unicode MS"/>
                <w:lang w:val="en-GB"/>
              </w:rPr>
            </w:pPr>
            <w:r w:rsidRPr="008815CE">
              <w:rPr>
                <w:b/>
                <w:bCs/>
                <w:bdr w:val="none" w:sz="0" w:space="0" w:color="auto"/>
                <w:lang w:val="en-GB"/>
              </w:rPr>
              <w:t>Borderline students</w:t>
            </w:r>
          </w:p>
        </w:tc>
        <w:tc>
          <w:tcPr>
            <w:tcW w:w="7924" w:type="dxa"/>
          </w:tcPr>
          <w:p w14:paraId="61BECCF5" w14:textId="0035C194" w:rsidR="008815CE" w:rsidRPr="008815CE" w:rsidRDefault="008815CE" w:rsidP="008815CE">
            <w:pPr>
              <w:pStyle w:val="ListBullet"/>
              <w:rPr>
                <w:bdr w:val="none" w:sz="0" w:space="0" w:color="auto"/>
                <w:lang w:eastAsia="en-US"/>
              </w:rPr>
            </w:pPr>
            <w:r w:rsidRPr="008815CE">
              <w:rPr>
                <w:b/>
                <w:bCs/>
                <w:bdr w:val="none" w:sz="0" w:space="0" w:color="auto"/>
                <w:lang w:eastAsia="en-US"/>
              </w:rPr>
              <w:t>Listening</w:t>
            </w:r>
            <w:r>
              <w:rPr>
                <w:b/>
                <w:bCs/>
                <w:bdr w:val="none" w:sz="0" w:space="0" w:color="auto"/>
                <w:lang w:eastAsia="en-US"/>
              </w:rPr>
              <w:t>:</w:t>
            </w:r>
            <w:r w:rsidRPr="008815CE">
              <w:rPr>
                <w:bdr w:val="none" w:sz="0" w:space="0" w:color="auto"/>
                <w:lang w:eastAsia="en-US"/>
              </w:rPr>
              <w:t xml:space="preserve">  These students demonstrate a good level of understanding of gist and most specific detail though understanding across the four listening texts is likely to be inconsistent. Students generally score well on early questions (Paper 1, Qs 1 and 2, written responses (Q3 and Q4) are clear; nevertheless, summary skills may be poor (Q4b).</w:t>
            </w:r>
          </w:p>
          <w:p w14:paraId="294031E4" w14:textId="2A185EB2" w:rsidR="008815CE" w:rsidRPr="008815CE" w:rsidRDefault="008815CE" w:rsidP="008815CE">
            <w:pPr>
              <w:pStyle w:val="ListBullet"/>
              <w:rPr>
                <w:bdr w:val="none" w:sz="0" w:space="0" w:color="auto"/>
                <w:lang w:eastAsia="en-US"/>
              </w:rPr>
            </w:pPr>
            <w:r w:rsidRPr="008815CE">
              <w:rPr>
                <w:b/>
                <w:bCs/>
                <w:bdr w:val="none" w:sz="0" w:space="0" w:color="auto"/>
                <w:lang w:eastAsia="en-US"/>
              </w:rPr>
              <w:t>Reading</w:t>
            </w:r>
            <w:r>
              <w:rPr>
                <w:b/>
                <w:bCs/>
                <w:bdr w:val="none" w:sz="0" w:space="0" w:color="auto"/>
                <w:lang w:eastAsia="en-US"/>
              </w:rPr>
              <w:t>:</w:t>
            </w:r>
            <w:r w:rsidRPr="008815CE">
              <w:rPr>
                <w:bdr w:val="none" w:sz="0" w:space="0" w:color="auto"/>
                <w:lang w:eastAsia="en-US"/>
              </w:rPr>
              <w:t xml:space="preserve">  The borderline A/B students demonstrate good understanding of early written texts (Paper 1, Qs 5, 6), however Q7 begins to challenge as do Qs 8 and 9 and students may not understand items of idiomatic language and may miss the deeper meaning of a text.</w:t>
            </w:r>
          </w:p>
          <w:p w14:paraId="47B4D4DA" w14:textId="65FA8A05" w:rsidR="008815CE" w:rsidRPr="008815CE" w:rsidRDefault="008815CE" w:rsidP="008815CE">
            <w:pPr>
              <w:pStyle w:val="ListBullet"/>
              <w:rPr>
                <w:bdr w:val="none" w:sz="0" w:space="0" w:color="auto"/>
                <w:lang w:eastAsia="en-US"/>
              </w:rPr>
            </w:pPr>
            <w:r w:rsidRPr="008815CE">
              <w:rPr>
                <w:b/>
                <w:bCs/>
                <w:bdr w:val="none" w:sz="0" w:space="0" w:color="auto"/>
                <w:lang w:eastAsia="en-US"/>
              </w:rPr>
              <w:t>Written response to works</w:t>
            </w:r>
            <w:r>
              <w:rPr>
                <w:b/>
                <w:bCs/>
                <w:bdr w:val="none" w:sz="0" w:space="0" w:color="auto"/>
                <w:lang w:eastAsia="en-US"/>
              </w:rPr>
              <w:t>:</w:t>
            </w:r>
            <w:r w:rsidRPr="008815CE">
              <w:rPr>
                <w:bdr w:val="none" w:sz="0" w:space="0" w:color="auto"/>
                <w:lang w:eastAsia="en-US"/>
              </w:rPr>
              <w:t xml:space="preserve">  The borderline Grade A students show good knowledge of the works and make reference through examples in their essays.  The examples chosen are generally relevant and support the argument though there may be a lack of logical progression at points.  Conclusions may not always be persuasive</w:t>
            </w:r>
            <w:r w:rsidR="00774334">
              <w:rPr>
                <w:bdr w:val="none" w:sz="0" w:space="0" w:color="auto"/>
                <w:lang w:eastAsia="en-US"/>
              </w:rPr>
              <w:t>,</w:t>
            </w:r>
            <w:r w:rsidRPr="008815CE">
              <w:rPr>
                <w:bdr w:val="none" w:sz="0" w:space="0" w:color="auto"/>
                <w:lang w:eastAsia="en-US"/>
              </w:rPr>
              <w:t xml:space="preserve"> but the contributing arguments are usually well linked.  The student employs a good range of structures and vocabulary and some specialised terminology.  The two Paper 2 essays are sometimes of even standard though one may be stronger than the other.</w:t>
            </w:r>
          </w:p>
          <w:p w14:paraId="3532F72F" w14:textId="038D5C59" w:rsidR="008815CE" w:rsidRPr="008815CE" w:rsidRDefault="008815CE" w:rsidP="008815CE">
            <w:pPr>
              <w:pStyle w:val="ListBullet"/>
              <w:rPr>
                <w:bdr w:val="none" w:sz="0" w:space="0" w:color="auto"/>
                <w:lang w:eastAsia="en-US"/>
              </w:rPr>
            </w:pPr>
            <w:r w:rsidRPr="008815CE">
              <w:rPr>
                <w:b/>
                <w:bCs/>
                <w:bdr w:val="none" w:sz="0" w:space="0" w:color="auto"/>
                <w:lang w:eastAsia="en-US"/>
              </w:rPr>
              <w:t>Speaking</w:t>
            </w:r>
            <w:r>
              <w:rPr>
                <w:b/>
                <w:bCs/>
                <w:bdr w:val="none" w:sz="0" w:space="0" w:color="auto"/>
                <w:lang w:eastAsia="en-US"/>
              </w:rPr>
              <w:t>:</w:t>
            </w:r>
            <w:r w:rsidRPr="008815CE">
              <w:rPr>
                <w:bdr w:val="none" w:sz="0" w:space="0" w:color="auto"/>
                <w:lang w:eastAsia="en-US"/>
              </w:rPr>
              <w:t xml:space="preserve">  These students directly address points raised in the discussion and are able to substantiate their opinions; they offer developed responses, engaging with the examiner in natural discussion.  They are able to express what they wish to say in appropriate language employing complex structures</w:t>
            </w:r>
            <w:r w:rsidR="00774334">
              <w:rPr>
                <w:bdr w:val="none" w:sz="0" w:space="0" w:color="auto"/>
                <w:lang w:eastAsia="en-US"/>
              </w:rPr>
              <w:t>.  For example, ‘</w:t>
            </w:r>
            <w:r w:rsidRPr="008815CE">
              <w:rPr>
                <w:i/>
                <w:iCs/>
                <w:bdr w:val="none" w:sz="0" w:space="0" w:color="auto"/>
                <w:lang w:eastAsia="en-US"/>
              </w:rPr>
              <w:t>es wird oft gesagt, dass… Man muss einsehen, dass….was oft unter der Bevölkerung missverstanden wird…und das sind wichtige Indizien für…</w:t>
            </w:r>
            <w:r w:rsidRPr="008815CE">
              <w:rPr>
                <w:bdr w:val="none" w:sz="0" w:space="0" w:color="auto"/>
                <w:lang w:eastAsia="en-US"/>
              </w:rPr>
              <w:t xml:space="preserve"> </w:t>
            </w:r>
            <w:r w:rsidR="00774334">
              <w:rPr>
                <w:bdr w:val="none" w:sz="0" w:space="0" w:color="auto"/>
                <w:lang w:eastAsia="en-US"/>
              </w:rPr>
              <w:t>‘</w:t>
            </w:r>
            <w:r w:rsidRPr="008815CE">
              <w:rPr>
                <w:bdr w:val="none" w:sz="0" w:space="0" w:color="auto"/>
                <w:lang w:eastAsia="en-US"/>
              </w:rPr>
              <w:t>. Communication is clear. The test remains clearly focused.</w:t>
            </w:r>
          </w:p>
          <w:p w14:paraId="7C997D4E" w14:textId="19A2D8D9" w:rsidR="008815CE" w:rsidRPr="008815CE" w:rsidRDefault="008815CE" w:rsidP="008815CE">
            <w:pPr>
              <w:pStyle w:val="ListBullet"/>
              <w:rPr>
                <w:rFonts w:cs="Arial Unicode MS"/>
              </w:rPr>
            </w:pPr>
            <w:r w:rsidRPr="008815CE">
              <w:rPr>
                <w:b/>
                <w:bCs/>
                <w:bdr w:val="none" w:sz="0" w:space="0" w:color="auto"/>
                <w:lang w:eastAsia="en-US"/>
              </w:rPr>
              <w:t>Translation</w:t>
            </w:r>
            <w:r>
              <w:rPr>
                <w:bdr w:val="none" w:sz="0" w:space="0" w:color="auto"/>
                <w:lang w:eastAsia="en-US"/>
              </w:rPr>
              <w:t>:</w:t>
            </w:r>
            <w:r w:rsidRPr="008815CE">
              <w:rPr>
                <w:bdr w:val="none" w:sz="0" w:space="0" w:color="auto"/>
                <w:lang w:eastAsia="en-US"/>
              </w:rPr>
              <w:t xml:space="preserve"> Borderline A/B students deal well with the translation from French into English, scoring over half marks. (Paper 1, Q10)</w:t>
            </w:r>
            <w:r w:rsidR="00774334">
              <w:rPr>
                <w:bdr w:val="none" w:sz="0" w:space="0" w:color="auto"/>
                <w:lang w:eastAsia="en-US"/>
              </w:rPr>
              <w:t>.  T</w:t>
            </w:r>
            <w:r w:rsidRPr="008815CE">
              <w:rPr>
                <w:bdr w:val="none" w:sz="0" w:space="0" w:color="auto"/>
                <w:lang w:eastAsia="en-US"/>
              </w:rPr>
              <w:t xml:space="preserve">ranslation from English to German is good though some of the most complex or idiomatic structures may not be successful. The most complex examples from 2019 have been noted above. They may also have a little difficulty with prepositions, for example when used with trying to translate ideas such as </w:t>
            </w:r>
            <w:r w:rsidR="00774334">
              <w:rPr>
                <w:bdr w:val="none" w:sz="0" w:space="0" w:color="auto"/>
                <w:lang w:eastAsia="en-US"/>
              </w:rPr>
              <w:t>‘</w:t>
            </w:r>
            <w:r w:rsidRPr="008815CE">
              <w:rPr>
                <w:bdr w:val="none" w:sz="0" w:space="0" w:color="auto"/>
                <w:lang w:eastAsia="en-US"/>
              </w:rPr>
              <w:t>with it…</w:t>
            </w:r>
            <w:r w:rsidR="00774334">
              <w:rPr>
                <w:bdr w:val="none" w:sz="0" w:space="0" w:color="auto"/>
                <w:lang w:eastAsia="en-US"/>
              </w:rPr>
              <w:t xml:space="preserve">’ </w:t>
            </w:r>
            <w:r w:rsidRPr="008815CE">
              <w:rPr>
                <w:bdr w:val="none" w:sz="0" w:space="0" w:color="auto"/>
                <w:lang w:eastAsia="en-US"/>
              </w:rPr>
              <w:t xml:space="preserve">and </w:t>
            </w:r>
            <w:r w:rsidR="00774334">
              <w:rPr>
                <w:bdr w:val="none" w:sz="0" w:space="0" w:color="auto"/>
                <w:lang w:eastAsia="en-US"/>
              </w:rPr>
              <w:t>‘</w:t>
            </w:r>
            <w:r w:rsidRPr="008815CE">
              <w:rPr>
                <w:bdr w:val="none" w:sz="0" w:space="0" w:color="auto"/>
                <w:lang w:eastAsia="en-US"/>
              </w:rPr>
              <w:t xml:space="preserve">for </w:t>
            </w:r>
            <w:r w:rsidRPr="008815CE">
              <w:rPr>
                <w:bdr w:val="none" w:sz="0" w:space="0" w:color="auto"/>
                <w:lang w:eastAsia="en-US"/>
              </w:rPr>
              <w:lastRenderedPageBreak/>
              <w:t>it…</w:t>
            </w:r>
            <w:r w:rsidR="00774334">
              <w:rPr>
                <w:bdr w:val="none" w:sz="0" w:space="0" w:color="auto"/>
                <w:lang w:eastAsia="en-US"/>
              </w:rPr>
              <w:t xml:space="preserve">’ </w:t>
            </w:r>
            <w:r w:rsidRPr="008815CE">
              <w:rPr>
                <w:bdr w:val="none" w:sz="0" w:space="0" w:color="auto"/>
                <w:lang w:eastAsia="en-US"/>
              </w:rPr>
              <w:t xml:space="preserve">and </w:t>
            </w:r>
            <w:r w:rsidR="00774334">
              <w:rPr>
                <w:bdr w:val="none" w:sz="0" w:space="0" w:color="auto"/>
                <w:lang w:eastAsia="en-US"/>
              </w:rPr>
              <w:t>‘</w:t>
            </w:r>
            <w:r w:rsidRPr="008815CE">
              <w:rPr>
                <w:bdr w:val="none" w:sz="0" w:space="0" w:color="auto"/>
                <w:lang w:eastAsia="en-US"/>
              </w:rPr>
              <w:t>within it….</w:t>
            </w:r>
            <w:r w:rsidR="00774334">
              <w:rPr>
                <w:bdr w:val="none" w:sz="0" w:space="0" w:color="auto"/>
                <w:lang w:eastAsia="en-US"/>
              </w:rPr>
              <w:t>’</w:t>
            </w:r>
            <w:r w:rsidRPr="008815CE">
              <w:rPr>
                <w:bdr w:val="none" w:sz="0" w:space="0" w:color="auto"/>
                <w:lang w:eastAsia="en-US"/>
              </w:rPr>
              <w:t xml:space="preserve"> and not always being able to use the compound with “da(r)”  There may be some anglicisms, such as </w:t>
            </w:r>
            <w:r w:rsidR="00774334">
              <w:rPr>
                <w:bdr w:val="none" w:sz="0" w:space="0" w:color="auto"/>
                <w:lang w:eastAsia="en-US"/>
              </w:rPr>
              <w:t>‘</w:t>
            </w:r>
            <w:r w:rsidRPr="00774334">
              <w:rPr>
                <w:i/>
                <w:iCs/>
                <w:bdr w:val="none" w:sz="0" w:space="0" w:color="auto"/>
                <w:lang w:eastAsia="en-US"/>
              </w:rPr>
              <w:t>das macht Sinn</w:t>
            </w:r>
            <w:r w:rsidR="00774334">
              <w:rPr>
                <w:i/>
                <w:iCs/>
                <w:bdr w:val="none" w:sz="0" w:space="0" w:color="auto"/>
                <w:lang w:eastAsia="en-US"/>
              </w:rPr>
              <w:t>’</w:t>
            </w:r>
            <w:r w:rsidRPr="008815CE">
              <w:rPr>
                <w:bdr w:val="none" w:sz="0" w:space="0" w:color="auto"/>
                <w:lang w:eastAsia="en-US"/>
              </w:rPr>
              <w:t xml:space="preserve"> or over reliance on words such as </w:t>
            </w:r>
            <w:r w:rsidR="00774334">
              <w:rPr>
                <w:bdr w:val="none" w:sz="0" w:space="0" w:color="auto"/>
                <w:lang w:eastAsia="en-US"/>
              </w:rPr>
              <w:t>‘</w:t>
            </w:r>
            <w:r w:rsidRPr="00774334">
              <w:rPr>
                <w:i/>
                <w:iCs/>
                <w:bdr w:val="none" w:sz="0" w:space="0" w:color="auto"/>
                <w:lang w:eastAsia="en-US"/>
              </w:rPr>
              <w:t>Leute / Menschen / Sachen or Dinge</w:t>
            </w:r>
            <w:r w:rsidR="00774334" w:rsidRPr="00774334">
              <w:rPr>
                <w:i/>
                <w:iCs/>
                <w:bdr w:val="none" w:sz="0" w:space="0" w:color="auto"/>
                <w:lang w:eastAsia="en-US"/>
              </w:rPr>
              <w:t>’</w:t>
            </w:r>
            <w:r w:rsidRPr="008815CE">
              <w:rPr>
                <w:bdr w:val="none" w:sz="0" w:space="0" w:color="auto"/>
                <w:lang w:eastAsia="en-US"/>
              </w:rPr>
              <w:t>.</w:t>
            </w:r>
            <w:r w:rsidRPr="008815CE">
              <w:t xml:space="preserve">  </w:t>
            </w:r>
          </w:p>
        </w:tc>
      </w:tr>
    </w:tbl>
    <w:p w14:paraId="3657E040" w14:textId="6442B6CA" w:rsidR="008815CE" w:rsidRDefault="008815CE" w:rsidP="008815CE">
      <w:pPr>
        <w:pStyle w:val="BodyA"/>
        <w:rPr>
          <w:lang w:val="en-GB"/>
        </w:rPr>
      </w:pPr>
    </w:p>
    <w:p w14:paraId="6E6B3E6B" w14:textId="7C18B162" w:rsidR="008815CE" w:rsidRDefault="008815CE" w:rsidP="008815CE">
      <w:pPr>
        <w:pStyle w:val="BodyA"/>
        <w:rPr>
          <w:lang w:val="en-GB"/>
        </w:rPr>
      </w:pPr>
    </w:p>
    <w:p w14:paraId="5A59EECA" w14:textId="355FDEE5" w:rsidR="00774334" w:rsidRDefault="00774334">
      <w:pPr>
        <w:rPr>
          <w:rFonts w:cs="Arial Unicode MS"/>
          <w:color w:val="000000"/>
          <w:u w:color="000000"/>
          <w:lang w:val="en-GB" w:eastAsia="en-GB"/>
        </w:rPr>
      </w:pPr>
      <w:r>
        <w:rPr>
          <w:lang w:val="en-GB"/>
        </w:rPr>
        <w:br w:type="page"/>
      </w:r>
    </w:p>
    <w:p w14:paraId="11C542E1" w14:textId="1765BF12" w:rsidR="008815CE" w:rsidRDefault="008815CE" w:rsidP="00774334">
      <w:pPr>
        <w:pStyle w:val="Heading3"/>
        <w:rPr>
          <w:lang w:val="en-GB"/>
        </w:rPr>
      </w:pPr>
      <w:r>
        <w:rPr>
          <w:lang w:val="en-GB"/>
        </w:rPr>
        <w:lastRenderedPageBreak/>
        <w:t>A level German</w:t>
      </w:r>
      <w:r w:rsidRPr="001A282A">
        <w:rPr>
          <w:lang w:val="en-GB"/>
        </w:rPr>
        <w:t xml:space="preserve"> </w:t>
      </w:r>
      <w:r w:rsidRPr="56758FD5">
        <w:rPr>
          <w:lang w:val="en-GB"/>
        </w:rPr>
        <w:t xml:space="preserve">- Grade </w:t>
      </w:r>
      <w:r>
        <w:rPr>
          <w:lang w:val="en-GB"/>
        </w:rPr>
        <w:t>C</w:t>
      </w:r>
      <w:r w:rsidRPr="56758FD5">
        <w:rPr>
          <w:lang w:val="en-GB"/>
        </w:rPr>
        <w:t xml:space="preserve"> Characteristics</w:t>
      </w:r>
    </w:p>
    <w:tbl>
      <w:tblPr>
        <w:tblStyle w:val="TableGrid"/>
        <w:tblW w:w="0" w:type="auto"/>
        <w:tblInd w:w="-5" w:type="dxa"/>
        <w:tblLook w:val="04A0" w:firstRow="1" w:lastRow="0" w:firstColumn="1" w:lastColumn="0" w:noHBand="0" w:noVBand="1"/>
      </w:tblPr>
      <w:tblGrid>
        <w:gridCol w:w="2383"/>
        <w:gridCol w:w="7924"/>
      </w:tblGrid>
      <w:tr w:rsidR="008815CE" w:rsidRPr="008815CE" w14:paraId="1DF93659" w14:textId="77777777" w:rsidTr="00E640AC">
        <w:tc>
          <w:tcPr>
            <w:tcW w:w="2383" w:type="dxa"/>
          </w:tcPr>
          <w:p w14:paraId="2320A58B" w14:textId="5874DE9E" w:rsidR="008815CE" w:rsidRPr="008815CE" w:rsidRDefault="008815CE" w:rsidP="00E640AC">
            <w:pPr>
              <w:pStyle w:val="ListBullet"/>
              <w:rPr>
                <w:b/>
                <w:bCs/>
                <w:bdr w:val="none" w:sz="0" w:space="0" w:color="auto"/>
                <w:lang w:val="en-GB"/>
              </w:rPr>
            </w:pPr>
            <w:r w:rsidRPr="008815CE">
              <w:rPr>
                <w:b/>
                <w:bCs/>
                <w:bdr w:val="none" w:sz="0" w:space="0" w:color="auto"/>
                <w:lang w:val="en-GB"/>
              </w:rPr>
              <w:t xml:space="preserve">Grade </w:t>
            </w:r>
            <w:r>
              <w:rPr>
                <w:b/>
                <w:bCs/>
                <w:bdr w:val="none" w:sz="0" w:space="0" w:color="auto"/>
                <w:lang w:val="en-GB"/>
              </w:rPr>
              <w:t>C</w:t>
            </w:r>
          </w:p>
          <w:p w14:paraId="367B7B25" w14:textId="77777777" w:rsidR="008815CE" w:rsidRDefault="008815CE" w:rsidP="00E640AC">
            <w:pPr>
              <w:pStyle w:val="ListBullet"/>
              <w:rPr>
                <w:b/>
                <w:bCs/>
                <w:bdr w:val="none" w:sz="0" w:space="0" w:color="auto"/>
                <w:lang w:val="en-GB"/>
              </w:rPr>
            </w:pPr>
            <w:r w:rsidRPr="008815CE">
              <w:rPr>
                <w:b/>
                <w:bCs/>
                <w:bdr w:val="none" w:sz="0" w:space="0" w:color="auto"/>
                <w:lang w:val="en-GB"/>
              </w:rPr>
              <w:t>Most secure</w:t>
            </w:r>
          </w:p>
          <w:p w14:paraId="3A301661" w14:textId="77777777" w:rsidR="008815CE" w:rsidRPr="008815CE" w:rsidRDefault="008815CE" w:rsidP="00E640AC">
            <w:pPr>
              <w:pStyle w:val="ListBullet"/>
              <w:rPr>
                <w:rFonts w:cs="Arial Unicode MS"/>
                <w:b/>
                <w:bCs/>
                <w:lang w:val="en-GB"/>
              </w:rPr>
            </w:pPr>
            <w:r w:rsidRPr="008815CE">
              <w:rPr>
                <w:b/>
                <w:bCs/>
                <w:bdr w:val="none" w:sz="0" w:space="0" w:color="auto"/>
                <w:lang w:val="en-GB"/>
              </w:rPr>
              <w:t xml:space="preserve"> students</w:t>
            </w:r>
          </w:p>
        </w:tc>
        <w:tc>
          <w:tcPr>
            <w:tcW w:w="7924" w:type="dxa"/>
          </w:tcPr>
          <w:p w14:paraId="7FC34D36" w14:textId="5C6FDC30" w:rsidR="00774334" w:rsidRPr="00774334" w:rsidRDefault="00774334" w:rsidP="00774334">
            <w:pPr>
              <w:pStyle w:val="ListBullet"/>
              <w:rPr>
                <w:b/>
                <w:bCs/>
                <w:bdr w:val="none" w:sz="0" w:space="0" w:color="auto"/>
                <w:lang w:eastAsia="en-US"/>
              </w:rPr>
            </w:pPr>
            <w:r w:rsidRPr="00774334">
              <w:rPr>
                <w:b/>
                <w:bCs/>
                <w:bdr w:val="none" w:sz="0" w:space="0" w:color="auto"/>
                <w:lang w:eastAsia="en-US"/>
              </w:rPr>
              <w:t>Listening</w:t>
            </w:r>
            <w:r>
              <w:rPr>
                <w:b/>
                <w:bCs/>
                <w:bdr w:val="none" w:sz="0" w:space="0" w:color="auto"/>
                <w:lang w:eastAsia="en-US"/>
              </w:rPr>
              <w:t xml:space="preserve">: </w:t>
            </w:r>
            <w:r w:rsidRPr="00774334">
              <w:rPr>
                <w:bdr w:val="none" w:sz="0" w:space="0" w:color="auto"/>
                <w:lang w:eastAsia="en-US"/>
              </w:rPr>
              <w:t>These students achieve on all listening questions (Paper 1, Qs1-4); the summary question, 4(b), is likely to challenge them and, when listening is tested in this long, mixed-skills paper, their performance is likely to be less good than that in the reading section.</w:t>
            </w:r>
          </w:p>
          <w:p w14:paraId="0878628E" w14:textId="41CC957F" w:rsidR="00774334" w:rsidRPr="00774334" w:rsidRDefault="00774334" w:rsidP="00774334">
            <w:pPr>
              <w:pStyle w:val="ListBullet"/>
              <w:rPr>
                <w:b/>
                <w:bCs/>
                <w:bdr w:val="none" w:sz="0" w:space="0" w:color="auto"/>
                <w:lang w:eastAsia="en-US"/>
              </w:rPr>
            </w:pPr>
            <w:r w:rsidRPr="00774334">
              <w:rPr>
                <w:b/>
                <w:bCs/>
                <w:bdr w:val="none" w:sz="0" w:space="0" w:color="auto"/>
                <w:lang w:eastAsia="en-US"/>
              </w:rPr>
              <w:t>Reading</w:t>
            </w:r>
            <w:r>
              <w:rPr>
                <w:b/>
                <w:bCs/>
                <w:bdr w:val="none" w:sz="0" w:space="0" w:color="auto"/>
                <w:lang w:eastAsia="en-US"/>
              </w:rPr>
              <w:t xml:space="preserve">: </w:t>
            </w:r>
            <w:r w:rsidRPr="00774334">
              <w:rPr>
                <w:bdr w:val="none" w:sz="0" w:space="0" w:color="auto"/>
                <w:lang w:eastAsia="en-US"/>
              </w:rPr>
              <w:t>The best Grade C students demonstrate their understanding of the range of reading texts in Paper 1 and usually have the language in which to answer clearly.   They will usually achieve well on Qs 5 and 6 but will be challenged most by Questions 7 to 9, the longer texts, which may be in an unfamiliar register (literary, historical).  These students complete the reading section but will not demonstrate full understanding of the later texts.</w:t>
            </w:r>
          </w:p>
          <w:p w14:paraId="29AA6B66" w14:textId="4AF1AA22" w:rsidR="00774334" w:rsidRPr="00774334" w:rsidRDefault="00774334" w:rsidP="00774334">
            <w:pPr>
              <w:pStyle w:val="ListBullet"/>
              <w:rPr>
                <w:b/>
                <w:bCs/>
                <w:bdr w:val="none" w:sz="0" w:space="0" w:color="auto"/>
                <w:lang w:eastAsia="en-US"/>
              </w:rPr>
            </w:pPr>
            <w:r w:rsidRPr="00774334">
              <w:rPr>
                <w:b/>
                <w:bCs/>
                <w:bdr w:val="none" w:sz="0" w:space="0" w:color="auto"/>
                <w:lang w:eastAsia="en-US"/>
              </w:rPr>
              <w:t>Written response to works</w:t>
            </w:r>
            <w:r>
              <w:rPr>
                <w:b/>
                <w:bCs/>
                <w:bdr w:val="none" w:sz="0" w:space="0" w:color="auto"/>
                <w:lang w:eastAsia="en-US"/>
              </w:rPr>
              <w:t>:</w:t>
            </w:r>
            <w:r w:rsidRPr="00774334">
              <w:rPr>
                <w:b/>
                <w:bCs/>
                <w:bdr w:val="none" w:sz="0" w:space="0" w:color="auto"/>
                <w:lang w:eastAsia="en-US"/>
              </w:rPr>
              <w:t xml:space="preserve">  </w:t>
            </w:r>
            <w:r w:rsidRPr="00774334">
              <w:rPr>
                <w:bdr w:val="none" w:sz="0" w:space="0" w:color="auto"/>
                <w:lang w:eastAsia="en-US"/>
              </w:rPr>
              <w:t>The most secure Grade C students demonstrate their knowledge of the works studied though one Paper 2 essay is likely to be stronger than the other.  They analyse aspects of the issue or theme raised in the question and make arguments which generally progress logically and lead to valid conclusions.  These students back up their analysis with some specific, relevant reference to the work. There may be a little description and narration which has only tenuous links to the precise question.  Language is varied and largely articulate; the essay is easy to read and usually focused on the question.</w:t>
            </w:r>
          </w:p>
          <w:p w14:paraId="7AB598AA" w14:textId="4828615E" w:rsidR="00774334" w:rsidRPr="00774334" w:rsidRDefault="00774334" w:rsidP="00774334">
            <w:pPr>
              <w:pStyle w:val="ListBullet"/>
              <w:rPr>
                <w:b/>
                <w:bCs/>
                <w:bdr w:val="none" w:sz="0" w:space="0" w:color="auto"/>
                <w:lang w:eastAsia="en-US"/>
              </w:rPr>
            </w:pPr>
            <w:r w:rsidRPr="00774334">
              <w:rPr>
                <w:b/>
                <w:bCs/>
                <w:bdr w:val="none" w:sz="0" w:space="0" w:color="auto"/>
                <w:lang w:eastAsia="en-US"/>
              </w:rPr>
              <w:t>Speaking</w:t>
            </w:r>
            <w:r>
              <w:rPr>
                <w:b/>
                <w:bCs/>
                <w:bdr w:val="none" w:sz="0" w:space="0" w:color="auto"/>
                <w:lang w:eastAsia="en-US"/>
              </w:rPr>
              <w:t xml:space="preserve">: </w:t>
            </w:r>
            <w:r w:rsidRPr="00774334">
              <w:rPr>
                <w:b/>
                <w:bCs/>
                <w:bdr w:val="none" w:sz="0" w:space="0" w:color="auto"/>
                <w:lang w:eastAsia="en-US"/>
              </w:rPr>
              <w:t xml:space="preserve">  </w:t>
            </w:r>
            <w:r w:rsidRPr="00774334">
              <w:rPr>
                <w:bdr w:val="none" w:sz="0" w:space="0" w:color="auto"/>
                <w:lang w:eastAsia="en-US"/>
              </w:rPr>
              <w:t>At the top of the range students generally retain the focus of discussion on a relevant German speaking society and culture. They present a summary of their written sources which is generally clear (Task 2, Part 1). They follow closely the requirements of the test in this section and are thus likely to score quite highly for AO2. Language is clear and varied, any errors which occur do not stand in the way of communication. The students develop an argument and interact spontaneously with the examiner; there is good interaction. Candidates listen carefully to what has been said and respond relevantly and naturally.</w:t>
            </w:r>
          </w:p>
          <w:p w14:paraId="61D75C35" w14:textId="3968D031" w:rsidR="008815CE" w:rsidRPr="008815CE" w:rsidRDefault="00774334" w:rsidP="00774334">
            <w:pPr>
              <w:pStyle w:val="ListBullet"/>
              <w:rPr>
                <w:b/>
                <w:bCs/>
                <w:bdr w:val="none" w:sz="0" w:space="0" w:color="auto"/>
                <w:lang w:eastAsia="en-US"/>
              </w:rPr>
            </w:pPr>
            <w:r w:rsidRPr="00774334">
              <w:rPr>
                <w:b/>
                <w:bCs/>
                <w:bdr w:val="none" w:sz="0" w:space="0" w:color="auto"/>
                <w:lang w:eastAsia="en-US"/>
              </w:rPr>
              <w:t>Translation</w:t>
            </w:r>
            <w:r>
              <w:rPr>
                <w:b/>
                <w:bCs/>
                <w:bdr w:val="none" w:sz="0" w:space="0" w:color="auto"/>
                <w:lang w:eastAsia="en-US"/>
              </w:rPr>
              <w:t xml:space="preserve">: </w:t>
            </w:r>
            <w:r w:rsidRPr="00774334">
              <w:rPr>
                <w:b/>
                <w:bCs/>
                <w:bdr w:val="none" w:sz="0" w:space="0" w:color="auto"/>
                <w:lang w:eastAsia="en-US"/>
              </w:rPr>
              <w:t xml:space="preserve"> </w:t>
            </w:r>
            <w:r w:rsidRPr="00774334">
              <w:rPr>
                <w:bdr w:val="none" w:sz="0" w:space="0" w:color="auto"/>
                <w:lang w:eastAsia="en-US"/>
              </w:rPr>
              <w:t>These students translate adequately in both directions - English to TL (Paper 2, Q1) and vice versa (Paper 1, Q10) - though not perfectly.  Some translation of German phrases (Paper1) may be literal or word for word whilst English to German translation (Paper 2) achieves under half marks.</w:t>
            </w:r>
          </w:p>
        </w:tc>
      </w:tr>
      <w:tr w:rsidR="008815CE" w:rsidRPr="008815CE" w14:paraId="4AAF6779" w14:textId="77777777" w:rsidTr="00E640AC">
        <w:tc>
          <w:tcPr>
            <w:tcW w:w="2383" w:type="dxa"/>
          </w:tcPr>
          <w:p w14:paraId="7CA6A6AE" w14:textId="409D33E0" w:rsidR="008815CE" w:rsidRPr="008815CE" w:rsidRDefault="008815CE" w:rsidP="00E640AC">
            <w:pPr>
              <w:pStyle w:val="ListBullet"/>
              <w:rPr>
                <w:b/>
                <w:bCs/>
                <w:bdr w:val="none" w:sz="0" w:space="0" w:color="auto"/>
                <w:lang w:val="en-GB"/>
              </w:rPr>
            </w:pPr>
            <w:r w:rsidRPr="008815CE">
              <w:rPr>
                <w:b/>
                <w:bCs/>
                <w:bdr w:val="none" w:sz="0" w:space="0" w:color="auto"/>
                <w:lang w:val="en-GB"/>
              </w:rPr>
              <w:t xml:space="preserve">Grade </w:t>
            </w:r>
            <w:r>
              <w:rPr>
                <w:b/>
                <w:bCs/>
                <w:bdr w:val="none" w:sz="0" w:space="0" w:color="auto"/>
                <w:lang w:val="en-GB"/>
              </w:rPr>
              <w:t>C</w:t>
            </w:r>
          </w:p>
          <w:p w14:paraId="205563D0" w14:textId="77777777" w:rsidR="008815CE" w:rsidRPr="008815CE" w:rsidRDefault="008815CE" w:rsidP="00E640AC">
            <w:pPr>
              <w:pStyle w:val="ListBullet"/>
              <w:rPr>
                <w:rFonts w:cs="Arial Unicode MS"/>
                <w:lang w:val="en-GB"/>
              </w:rPr>
            </w:pPr>
            <w:r w:rsidRPr="008815CE">
              <w:rPr>
                <w:b/>
                <w:bCs/>
                <w:bdr w:val="none" w:sz="0" w:space="0" w:color="auto"/>
                <w:lang w:val="en-GB"/>
              </w:rPr>
              <w:t>Secure students</w:t>
            </w:r>
          </w:p>
        </w:tc>
        <w:tc>
          <w:tcPr>
            <w:tcW w:w="7924" w:type="dxa"/>
          </w:tcPr>
          <w:p w14:paraId="2503AAFF" w14:textId="3BCFEE81" w:rsidR="007112F8" w:rsidRPr="007112F8" w:rsidRDefault="007112F8" w:rsidP="007112F8">
            <w:pPr>
              <w:pStyle w:val="ListBullet"/>
              <w:rPr>
                <w:bdr w:val="none" w:sz="0" w:space="0" w:color="auto"/>
                <w:lang w:eastAsia="en-US"/>
              </w:rPr>
            </w:pPr>
            <w:r w:rsidRPr="007112F8">
              <w:rPr>
                <w:b/>
                <w:bCs/>
                <w:bdr w:val="none" w:sz="0" w:space="0" w:color="auto"/>
                <w:lang w:eastAsia="en-US"/>
              </w:rPr>
              <w:t>Listening</w:t>
            </w:r>
            <w:r>
              <w:rPr>
                <w:b/>
                <w:bCs/>
                <w:bdr w:val="none" w:sz="0" w:space="0" w:color="auto"/>
                <w:lang w:eastAsia="en-US"/>
              </w:rPr>
              <w:t xml:space="preserve">: </w:t>
            </w:r>
            <w:r w:rsidRPr="007112F8">
              <w:rPr>
                <w:bdr w:val="none" w:sz="0" w:space="0" w:color="auto"/>
                <w:lang w:eastAsia="en-US"/>
              </w:rPr>
              <w:t xml:space="preserve"> Secure Grade C students will demonstrate understanding across a range of materials but are likely to drop marks on several questions (Paper1, Qs 2 to 4).  Language errors may impede communication of their responses in questions 3 and 4. In the summary section of Q4 there is a tendency to write at too great a length.</w:t>
            </w:r>
          </w:p>
          <w:p w14:paraId="297FFA3D" w14:textId="29721A70" w:rsidR="007112F8" w:rsidRPr="007112F8" w:rsidRDefault="007112F8" w:rsidP="007112F8">
            <w:pPr>
              <w:pStyle w:val="ListBullet"/>
              <w:rPr>
                <w:bdr w:val="none" w:sz="0" w:space="0" w:color="auto"/>
                <w:lang w:eastAsia="en-US"/>
              </w:rPr>
            </w:pPr>
            <w:r w:rsidRPr="007112F8">
              <w:rPr>
                <w:b/>
                <w:bCs/>
                <w:bdr w:val="none" w:sz="0" w:space="0" w:color="auto"/>
                <w:lang w:eastAsia="en-US"/>
              </w:rPr>
              <w:lastRenderedPageBreak/>
              <w:t>Reading</w:t>
            </w:r>
            <w:r w:rsidRPr="007112F8">
              <w:rPr>
                <w:b/>
                <w:bCs/>
                <w:bdr w:val="none" w:sz="0" w:space="0" w:color="auto"/>
                <w:lang w:eastAsia="en-US"/>
              </w:rPr>
              <w:t>:</w:t>
            </w:r>
            <w:r>
              <w:rPr>
                <w:bdr w:val="none" w:sz="0" w:space="0" w:color="auto"/>
                <w:lang w:eastAsia="en-US"/>
              </w:rPr>
              <w:t xml:space="preserve"> </w:t>
            </w:r>
            <w:r w:rsidRPr="007112F8">
              <w:rPr>
                <w:bdr w:val="none" w:sz="0" w:space="0" w:color="auto"/>
                <w:lang w:eastAsia="en-US"/>
              </w:rPr>
              <w:t xml:space="preserve"> These students demonstrate understanding of the gist and some detail of written texts.   They may not score consistently on Questions 7 to 9 (Paper 1) which they find challenging and may not be able to deduce meaning of unfamiliar lexis from context.  </w:t>
            </w:r>
          </w:p>
          <w:p w14:paraId="49B7C51B" w14:textId="349CEA54" w:rsidR="007112F8" w:rsidRPr="007112F8" w:rsidRDefault="007112F8" w:rsidP="007112F8">
            <w:pPr>
              <w:pStyle w:val="ListBullet"/>
              <w:rPr>
                <w:bdr w:val="none" w:sz="0" w:space="0" w:color="auto"/>
                <w:lang w:eastAsia="en-US"/>
              </w:rPr>
            </w:pPr>
            <w:r w:rsidRPr="007112F8">
              <w:rPr>
                <w:b/>
                <w:bCs/>
                <w:bdr w:val="none" w:sz="0" w:space="0" w:color="auto"/>
                <w:lang w:eastAsia="en-US"/>
              </w:rPr>
              <w:t>Written response to works</w:t>
            </w:r>
            <w:r w:rsidRPr="007112F8">
              <w:rPr>
                <w:b/>
                <w:bCs/>
                <w:bdr w:val="none" w:sz="0" w:space="0" w:color="auto"/>
                <w:lang w:eastAsia="en-US"/>
              </w:rPr>
              <w:t>:</w:t>
            </w:r>
            <w:r w:rsidRPr="007112F8">
              <w:rPr>
                <w:bdr w:val="none" w:sz="0" w:space="0" w:color="auto"/>
                <w:lang w:eastAsia="en-US"/>
              </w:rPr>
              <w:t xml:space="preserve"> Grade C students show a good knowledge of the works studied and compose a relevant and adequate response to the Paper 2 questions.   They offer relevant evidence from the text or film in support of their argument; there is evidence of critical analysis though this is not consistent throughout. The written German is varied but the quality may be inconsistent and lack fluency; there will be errors which occasionally hinder comprehension.</w:t>
            </w:r>
          </w:p>
          <w:p w14:paraId="7D6E740A" w14:textId="783B7B3C" w:rsidR="007112F8" w:rsidRPr="007112F8" w:rsidRDefault="007112F8" w:rsidP="007112F8">
            <w:pPr>
              <w:pStyle w:val="ListBullet"/>
              <w:rPr>
                <w:bdr w:val="none" w:sz="0" w:space="0" w:color="auto"/>
                <w:lang w:eastAsia="en-US"/>
              </w:rPr>
            </w:pPr>
            <w:r w:rsidRPr="007112F8">
              <w:rPr>
                <w:b/>
                <w:bCs/>
                <w:bdr w:val="none" w:sz="0" w:space="0" w:color="auto"/>
                <w:lang w:eastAsia="en-US"/>
              </w:rPr>
              <w:t>Speaking</w:t>
            </w:r>
            <w:r w:rsidRPr="007112F8">
              <w:rPr>
                <w:b/>
                <w:bCs/>
                <w:bdr w:val="none" w:sz="0" w:space="0" w:color="auto"/>
                <w:lang w:eastAsia="en-US"/>
              </w:rPr>
              <w:t>:</w:t>
            </w:r>
            <w:r w:rsidRPr="007112F8">
              <w:rPr>
                <w:bdr w:val="none" w:sz="0" w:space="0" w:color="auto"/>
                <w:lang w:eastAsia="en-US"/>
              </w:rPr>
              <w:t xml:space="preserve">  The language is varied, both in the structures and the vocabulary and idiomatic expressions may be used.  Arguments are likely to be straightforward though focused on the cultural and social context and there may be some evidence of analysis.  Students may use communication strategies to ask for clarification or repetition, for example. Some hesitancy in parts.</w:t>
            </w:r>
          </w:p>
          <w:p w14:paraId="06E2ED1F" w14:textId="1731752F" w:rsidR="008815CE" w:rsidRPr="008815CE" w:rsidRDefault="007112F8" w:rsidP="007112F8">
            <w:pPr>
              <w:pStyle w:val="ListBullet"/>
              <w:rPr>
                <w:bdr w:val="none" w:sz="0" w:space="0" w:color="auto"/>
                <w:lang w:eastAsia="en-US"/>
              </w:rPr>
            </w:pPr>
            <w:r w:rsidRPr="007112F8">
              <w:rPr>
                <w:b/>
                <w:bCs/>
                <w:bdr w:val="none" w:sz="0" w:space="0" w:color="auto"/>
                <w:lang w:eastAsia="en-US"/>
              </w:rPr>
              <w:t>Translation</w:t>
            </w:r>
            <w:r w:rsidRPr="007112F8">
              <w:rPr>
                <w:b/>
                <w:bCs/>
                <w:bdr w:val="none" w:sz="0" w:space="0" w:color="auto"/>
                <w:lang w:eastAsia="en-US"/>
              </w:rPr>
              <w:t>:</w:t>
            </w:r>
            <w:r>
              <w:rPr>
                <w:bdr w:val="none" w:sz="0" w:space="0" w:color="auto"/>
                <w:lang w:eastAsia="en-US"/>
              </w:rPr>
              <w:t xml:space="preserve"> </w:t>
            </w:r>
            <w:r w:rsidRPr="007112F8">
              <w:rPr>
                <w:bdr w:val="none" w:sz="0" w:space="0" w:color="auto"/>
                <w:lang w:eastAsia="en-US"/>
              </w:rPr>
              <w:t xml:space="preserve"> A secure Grade C candidate may score below half marks in the translation from English to German whilst missing some of the more complex requirements of the task (Paper 2, Q1).  In translating from German (Paper 1, Q10) the English rendering may not be </w:t>
            </w:r>
            <w:r w:rsidRPr="007112F8">
              <w:rPr>
                <w:bdr w:val="none" w:sz="0" w:space="0" w:color="auto"/>
                <w:lang w:eastAsia="en-US"/>
              </w:rPr>
              <w:t>clear,</w:t>
            </w:r>
            <w:r w:rsidRPr="007112F8">
              <w:rPr>
                <w:bdr w:val="none" w:sz="0" w:space="0" w:color="auto"/>
                <w:lang w:eastAsia="en-US"/>
              </w:rPr>
              <w:t xml:space="preserve"> and the translation will lack flow in places.</w:t>
            </w:r>
          </w:p>
        </w:tc>
      </w:tr>
      <w:tr w:rsidR="008815CE" w:rsidRPr="008815CE" w14:paraId="725FF372" w14:textId="77777777" w:rsidTr="00E640AC">
        <w:tc>
          <w:tcPr>
            <w:tcW w:w="2383" w:type="dxa"/>
          </w:tcPr>
          <w:p w14:paraId="4621630D" w14:textId="36ED8DE2" w:rsidR="008815CE" w:rsidRPr="008815CE" w:rsidRDefault="008815CE" w:rsidP="00E640AC">
            <w:pPr>
              <w:pStyle w:val="ListBullet"/>
              <w:rPr>
                <w:b/>
                <w:bCs/>
                <w:bdr w:val="none" w:sz="0" w:space="0" w:color="auto"/>
                <w:lang w:val="en-GB"/>
              </w:rPr>
            </w:pPr>
            <w:r w:rsidRPr="008815CE">
              <w:rPr>
                <w:b/>
                <w:bCs/>
                <w:bdr w:val="none" w:sz="0" w:space="0" w:color="auto"/>
                <w:lang w:val="en-GB"/>
              </w:rPr>
              <w:lastRenderedPageBreak/>
              <w:t xml:space="preserve">Grade </w:t>
            </w:r>
            <w:r>
              <w:rPr>
                <w:b/>
                <w:bCs/>
                <w:bdr w:val="none" w:sz="0" w:space="0" w:color="auto"/>
                <w:lang w:val="en-GB"/>
              </w:rPr>
              <w:t>C</w:t>
            </w:r>
          </w:p>
          <w:p w14:paraId="09E1B840" w14:textId="77777777" w:rsidR="008815CE" w:rsidRPr="008815CE" w:rsidRDefault="008815CE" w:rsidP="00E640AC">
            <w:pPr>
              <w:pStyle w:val="ListBullet"/>
              <w:rPr>
                <w:rFonts w:cs="Arial Unicode MS"/>
                <w:lang w:val="en-GB"/>
              </w:rPr>
            </w:pPr>
            <w:r w:rsidRPr="008815CE">
              <w:rPr>
                <w:b/>
                <w:bCs/>
                <w:bdr w:val="none" w:sz="0" w:space="0" w:color="auto"/>
                <w:lang w:val="en-GB"/>
              </w:rPr>
              <w:t>Borderline students</w:t>
            </w:r>
          </w:p>
        </w:tc>
        <w:tc>
          <w:tcPr>
            <w:tcW w:w="7924" w:type="dxa"/>
          </w:tcPr>
          <w:p w14:paraId="5226989F" w14:textId="157D62C5" w:rsidR="007112F8" w:rsidRPr="007112F8" w:rsidRDefault="007112F8" w:rsidP="007112F8">
            <w:pPr>
              <w:pStyle w:val="ListBullet"/>
              <w:rPr>
                <w:b/>
                <w:bCs/>
                <w:bdr w:val="none" w:sz="0" w:space="0" w:color="auto"/>
                <w:lang w:eastAsia="en-US"/>
              </w:rPr>
            </w:pPr>
            <w:r w:rsidRPr="007112F8">
              <w:rPr>
                <w:b/>
                <w:bCs/>
                <w:bdr w:val="none" w:sz="0" w:space="0" w:color="auto"/>
                <w:lang w:eastAsia="en-US"/>
              </w:rPr>
              <w:t>Listening</w:t>
            </w:r>
            <w:r>
              <w:rPr>
                <w:b/>
                <w:bCs/>
                <w:bdr w:val="none" w:sz="0" w:space="0" w:color="auto"/>
                <w:lang w:eastAsia="en-US"/>
              </w:rPr>
              <w:t xml:space="preserve">: </w:t>
            </w:r>
            <w:r w:rsidRPr="007112F8">
              <w:rPr>
                <w:bdr w:val="none" w:sz="0" w:space="0" w:color="auto"/>
                <w:lang w:eastAsia="en-US"/>
              </w:rPr>
              <w:t>These students will not demonstrate understanding of all of the specific detail required, though they understand the gist of a passage they hear.   They may offer an incomplete or poor summary (Paper 1, Q4b).  Basic errors in written German may impede communication of the correct answers to questions 3 and 4. Borderline Grade C students may not score well on the opening questions, 1 and 2.</w:t>
            </w:r>
          </w:p>
          <w:p w14:paraId="4FA736BF" w14:textId="442DD614" w:rsidR="007112F8" w:rsidRPr="007112F8" w:rsidRDefault="007112F8" w:rsidP="007112F8">
            <w:pPr>
              <w:pStyle w:val="ListBullet"/>
              <w:rPr>
                <w:bdr w:val="none" w:sz="0" w:space="0" w:color="auto"/>
                <w:lang w:eastAsia="en-US"/>
              </w:rPr>
            </w:pPr>
            <w:r w:rsidRPr="007112F8">
              <w:rPr>
                <w:b/>
                <w:bCs/>
                <w:bdr w:val="none" w:sz="0" w:space="0" w:color="auto"/>
                <w:lang w:eastAsia="en-US"/>
              </w:rPr>
              <w:t>Reading</w:t>
            </w:r>
            <w:r>
              <w:rPr>
                <w:b/>
                <w:bCs/>
                <w:bdr w:val="none" w:sz="0" w:space="0" w:color="auto"/>
                <w:lang w:eastAsia="en-US"/>
              </w:rPr>
              <w:t xml:space="preserve">: </w:t>
            </w:r>
            <w:r w:rsidRPr="007112F8">
              <w:rPr>
                <w:bdr w:val="none" w:sz="0" w:space="0" w:color="auto"/>
                <w:lang w:eastAsia="en-US"/>
              </w:rPr>
              <w:t>Borderline Grade C students begin to struggle with longer texts and may leave gaps in their responses to some questions.  Their written language is usually adequate to communicate responses clearly</w:t>
            </w:r>
            <w:r>
              <w:rPr>
                <w:bdr w:val="none" w:sz="0" w:space="0" w:color="auto"/>
                <w:lang w:eastAsia="en-US"/>
              </w:rPr>
              <w:t>,</w:t>
            </w:r>
            <w:r w:rsidRPr="007112F8">
              <w:rPr>
                <w:bdr w:val="none" w:sz="0" w:space="0" w:color="auto"/>
                <w:lang w:eastAsia="en-US"/>
              </w:rPr>
              <w:t xml:space="preserve"> but inference or deeper meaning is </w:t>
            </w:r>
            <w:r w:rsidRPr="007112F8">
              <w:rPr>
                <w:bdr w:val="none" w:sz="0" w:space="0" w:color="auto"/>
                <w:lang w:eastAsia="en-US"/>
              </w:rPr>
              <w:t>missed,</w:t>
            </w:r>
            <w:r w:rsidRPr="007112F8">
              <w:rPr>
                <w:bdr w:val="none" w:sz="0" w:space="0" w:color="auto"/>
                <w:lang w:eastAsia="en-US"/>
              </w:rPr>
              <w:t xml:space="preserve"> and the student may not always deduce meaning of unfamiliar lexis or more familiar lexis in an unfamiliar context. In the 2019 paper Q9 was found to be quite demanding at this level. For example, the sentence </w:t>
            </w:r>
            <w:r w:rsidRPr="007112F8">
              <w:rPr>
                <w:i/>
                <w:iCs/>
                <w:bdr w:val="none" w:sz="0" w:space="0" w:color="auto"/>
                <w:lang w:eastAsia="en-US"/>
              </w:rPr>
              <w:t>‘</w:t>
            </w:r>
            <w:r w:rsidRPr="007112F8">
              <w:rPr>
                <w:i/>
                <w:iCs/>
                <w:bdr w:val="none" w:sz="0" w:space="0" w:color="auto"/>
                <w:lang w:eastAsia="en-US"/>
              </w:rPr>
              <w:t>Dann musste ich mitteilen, dass die Ausreise per Zug nicht direkt, sondern über DDR-Gebiet zu erfolgen hatte. Die Stimmung sank in den Keller</w:t>
            </w:r>
            <w:r w:rsidRPr="007112F8">
              <w:rPr>
                <w:i/>
                <w:iCs/>
                <w:bdr w:val="none" w:sz="0" w:space="0" w:color="auto"/>
                <w:lang w:eastAsia="en-US"/>
              </w:rPr>
              <w:t>’</w:t>
            </w:r>
            <w:r w:rsidRPr="007112F8">
              <w:rPr>
                <w:bdr w:val="none" w:sz="0" w:space="0" w:color="auto"/>
                <w:lang w:eastAsia="en-US"/>
              </w:rPr>
              <w:t xml:space="preserve"> which required a </w:t>
            </w:r>
            <w:r w:rsidRPr="007112F8">
              <w:rPr>
                <w:bdr w:val="none" w:sz="0" w:space="0" w:color="auto"/>
                <w:lang w:eastAsia="en-US"/>
              </w:rPr>
              <w:t>metaphorical</w:t>
            </w:r>
            <w:r w:rsidRPr="007112F8">
              <w:rPr>
                <w:bdr w:val="none" w:sz="0" w:space="0" w:color="auto"/>
                <w:lang w:eastAsia="en-US"/>
              </w:rPr>
              <w:t xml:space="preserve"> understanding of some very common vocabulary and proved a challenge at this level.  </w:t>
            </w:r>
          </w:p>
          <w:p w14:paraId="68D0B767" w14:textId="551D2998" w:rsidR="007112F8" w:rsidRPr="007112F8" w:rsidRDefault="007112F8" w:rsidP="007112F8">
            <w:pPr>
              <w:pStyle w:val="ListBullet"/>
              <w:rPr>
                <w:bdr w:val="none" w:sz="0" w:space="0" w:color="auto"/>
                <w:lang w:eastAsia="en-US"/>
              </w:rPr>
            </w:pPr>
            <w:r w:rsidRPr="007112F8">
              <w:rPr>
                <w:b/>
                <w:bCs/>
                <w:bdr w:val="none" w:sz="0" w:space="0" w:color="auto"/>
                <w:lang w:eastAsia="en-US"/>
              </w:rPr>
              <w:t>Written response to works</w:t>
            </w:r>
            <w:r>
              <w:rPr>
                <w:b/>
                <w:bCs/>
                <w:bdr w:val="none" w:sz="0" w:space="0" w:color="auto"/>
                <w:lang w:eastAsia="en-US"/>
              </w:rPr>
              <w:t xml:space="preserve">: </w:t>
            </w:r>
            <w:r w:rsidRPr="007112F8">
              <w:rPr>
                <w:bdr w:val="none" w:sz="0" w:space="0" w:color="auto"/>
                <w:lang w:eastAsia="en-US"/>
              </w:rPr>
              <w:t xml:space="preserve">These students demonstrate their knowledge of the works studied, though detail is lacking in the evidence provided.  Some </w:t>
            </w:r>
            <w:r w:rsidRPr="007112F8">
              <w:rPr>
                <w:bdr w:val="none" w:sz="0" w:space="0" w:color="auto"/>
                <w:lang w:eastAsia="en-US"/>
              </w:rPr>
              <w:lastRenderedPageBreak/>
              <w:t>points made are not followed up such that the analysis is incomplete or patchy and there may be some loss of focus on the question. There is variety of expression though some parts of the essays lack fluency and may not always be easy to follow.  A response may lack supporting evidence from the work and therefore not be fully convincing. One essay is likely to be weaker than the other.</w:t>
            </w:r>
          </w:p>
          <w:p w14:paraId="175859AC" w14:textId="2C91D2AA" w:rsidR="007112F8" w:rsidRPr="007112F8" w:rsidRDefault="007112F8" w:rsidP="007112F8">
            <w:pPr>
              <w:pStyle w:val="ListBullet"/>
              <w:rPr>
                <w:bdr w:val="none" w:sz="0" w:space="0" w:color="auto"/>
                <w:lang w:eastAsia="en-US"/>
              </w:rPr>
            </w:pPr>
            <w:r w:rsidRPr="007112F8">
              <w:rPr>
                <w:b/>
                <w:bCs/>
                <w:bdr w:val="none" w:sz="0" w:space="0" w:color="auto"/>
                <w:lang w:eastAsia="en-US"/>
              </w:rPr>
              <w:t>Speaking</w:t>
            </w:r>
            <w:r>
              <w:rPr>
                <w:b/>
                <w:bCs/>
                <w:bdr w:val="none" w:sz="0" w:space="0" w:color="auto"/>
                <w:lang w:eastAsia="en-US"/>
              </w:rPr>
              <w:t xml:space="preserve">: </w:t>
            </w:r>
            <w:r w:rsidRPr="007112F8">
              <w:rPr>
                <w:bdr w:val="none" w:sz="0" w:space="0" w:color="auto"/>
                <w:lang w:eastAsia="en-US"/>
              </w:rPr>
              <w:t>The borderline Grade C student may lose some focus during the summary of independent research or may deliver the presentation (Task 2 part 1) at a speed which is difficult to follow. Discussion is generally relevant; ideas and opinions are justified with some evidence of analysis. (Tasks 1 and 2).  The range and accuracy of language may be uneven across the two tasks, being stronger in Task 2 whose content is strongly directed by the student’s interest and research. Students often fail to develop the discussion.  Pronunciation and intonation are intelligible and there is some variety of expression. In response to the two set questions there is insufficient focus on the precise question. Much general information is given about the topic which can seem quite impressive from the point of view of knowledge of culture and society but since the set question is not being answered much of this is irrelevant.</w:t>
            </w:r>
          </w:p>
          <w:p w14:paraId="33663083" w14:textId="1558A2BD" w:rsidR="008815CE" w:rsidRPr="008815CE" w:rsidRDefault="007112F8" w:rsidP="007112F8">
            <w:pPr>
              <w:pStyle w:val="ListBullet"/>
              <w:rPr>
                <w:rFonts w:cs="Arial Unicode MS"/>
              </w:rPr>
            </w:pPr>
            <w:r w:rsidRPr="007112F8">
              <w:rPr>
                <w:b/>
                <w:bCs/>
                <w:bdr w:val="none" w:sz="0" w:space="0" w:color="auto"/>
                <w:lang w:eastAsia="en-US"/>
              </w:rPr>
              <w:t>Translation</w:t>
            </w:r>
            <w:r>
              <w:rPr>
                <w:b/>
                <w:bCs/>
                <w:bdr w:val="none" w:sz="0" w:space="0" w:color="auto"/>
                <w:lang w:eastAsia="en-US"/>
              </w:rPr>
              <w:t xml:space="preserve">: </w:t>
            </w:r>
            <w:r w:rsidRPr="007112F8">
              <w:rPr>
                <w:bdr w:val="none" w:sz="0" w:space="0" w:color="auto"/>
                <w:lang w:eastAsia="en-US"/>
              </w:rPr>
              <w:t xml:space="preserve">These students may have difficulty with accurate renderings particularly from German to English (Paper 1, Q10) when word order and/or tenses are not very closely aligned in idiomatic usage.   A key example from the 2019 paper is: </w:t>
            </w:r>
            <w:r>
              <w:rPr>
                <w:bdr w:val="none" w:sz="0" w:space="0" w:color="auto"/>
                <w:lang w:eastAsia="en-US"/>
              </w:rPr>
              <w:t>‘</w:t>
            </w:r>
            <w:r w:rsidRPr="007112F8">
              <w:rPr>
                <w:i/>
                <w:iCs/>
                <w:bdr w:val="none" w:sz="0" w:space="0" w:color="auto"/>
                <w:lang w:eastAsia="en-US"/>
              </w:rPr>
              <w:t>Im Gegenteil findet jeder Zweite, dass sich seine eigene Leistung in der Arbeit durch neue Technologien erhöht habe</w:t>
            </w:r>
            <w:r w:rsidRPr="007112F8">
              <w:rPr>
                <w:bdr w:val="none" w:sz="0" w:space="0" w:color="auto"/>
                <w:lang w:eastAsia="en-US"/>
              </w:rPr>
              <w:t>.</w:t>
            </w:r>
            <w:r>
              <w:rPr>
                <w:bdr w:val="none" w:sz="0" w:space="0" w:color="auto"/>
                <w:lang w:eastAsia="en-US"/>
              </w:rPr>
              <w:t>’</w:t>
            </w:r>
            <w:r w:rsidRPr="007112F8">
              <w:rPr>
                <w:bdr w:val="none" w:sz="0" w:space="0" w:color="auto"/>
                <w:lang w:eastAsia="en-US"/>
              </w:rPr>
              <w:t>.</w:t>
            </w:r>
            <w:r>
              <w:rPr>
                <w:bdr w:val="none" w:sz="0" w:space="0" w:color="auto"/>
                <w:lang w:eastAsia="en-US"/>
              </w:rPr>
              <w:t xml:space="preserve"> </w:t>
            </w:r>
            <w:r w:rsidRPr="007112F8">
              <w:rPr>
                <w:bdr w:val="none" w:sz="0" w:space="0" w:color="auto"/>
                <w:lang w:eastAsia="en-US"/>
              </w:rPr>
              <w:t xml:space="preserve"> In translating from English into German</w:t>
            </w:r>
            <w:r>
              <w:rPr>
                <w:bdr w:val="none" w:sz="0" w:space="0" w:color="auto"/>
                <w:lang w:eastAsia="en-US"/>
              </w:rPr>
              <w:t>,</w:t>
            </w:r>
            <w:r w:rsidRPr="007112F8">
              <w:rPr>
                <w:bdr w:val="none" w:sz="0" w:space="0" w:color="auto"/>
                <w:lang w:eastAsia="en-US"/>
              </w:rPr>
              <w:t xml:space="preserve"> students are likely to make errors of grammar or even basic errors of word order and cases are likely to be rather inconsistent at this level.</w:t>
            </w:r>
            <w:r w:rsidRPr="007112F8">
              <w:t xml:space="preserve">  </w:t>
            </w:r>
          </w:p>
        </w:tc>
      </w:tr>
    </w:tbl>
    <w:p w14:paraId="04A7B6FC" w14:textId="77777777" w:rsidR="00FD5B0C" w:rsidRDefault="003A57B0">
      <w:pPr>
        <w:pStyle w:val="Heading3"/>
      </w:pPr>
      <w:r>
        <w:lastRenderedPageBreak/>
        <w:t xml:space="preserve">Support </w:t>
      </w:r>
    </w:p>
    <w:p w14:paraId="31239553" w14:textId="77777777" w:rsidR="00FD5B0C" w:rsidRDefault="003A57B0">
      <w:pPr>
        <w:pStyle w:val="BodyA"/>
        <w:rPr>
          <w:rFonts w:ascii="Open Sans" w:eastAsia="Open Sans" w:hAnsi="Open Sans" w:cs="Open Sans"/>
        </w:rPr>
      </w:pPr>
      <w:r>
        <w:rPr>
          <w:rFonts w:ascii="Open Sans" w:eastAsia="Open Sans" w:hAnsi="Open Sans" w:cs="Open Sans"/>
        </w:rPr>
        <w:t xml:space="preserve">We understand it is an uncertain time for you and your students at the moment. Our overriding aim this summer, as with any exam series, is to make sure that every learner receives a grade or award that reflects their knowledge and understanding of the subject they have studied. </w:t>
      </w:r>
    </w:p>
    <w:p w14:paraId="3D245856" w14:textId="77777777" w:rsidR="00FD5B0C" w:rsidRDefault="00FD5B0C">
      <w:pPr>
        <w:pStyle w:val="BodyA"/>
        <w:rPr>
          <w:rFonts w:ascii="Open Sans" w:eastAsia="Open Sans" w:hAnsi="Open Sans" w:cs="Open Sans"/>
        </w:rPr>
      </w:pPr>
    </w:p>
    <w:p w14:paraId="365DA426" w14:textId="77777777" w:rsidR="00FD5B0C" w:rsidRDefault="003A57B0">
      <w:pPr>
        <w:pStyle w:val="BodyA"/>
        <w:rPr>
          <w:rFonts w:ascii="Open Sans" w:eastAsia="Open Sans" w:hAnsi="Open Sans" w:cs="Open Sans"/>
        </w:rPr>
      </w:pPr>
      <w:r w:rsidRPr="00EB6647">
        <w:rPr>
          <w:rFonts w:ascii="Open Sans" w:eastAsia="Open Sans" w:hAnsi="Open Sans" w:cs="Open Sans"/>
          <w:lang w:val="en-GB"/>
        </w:rPr>
        <w:t>We</w:t>
      </w:r>
      <w:r>
        <w:rPr>
          <w:rFonts w:ascii="Open Sans" w:eastAsia="Open Sans" w:hAnsi="Open Sans" w:cs="Open Sans"/>
        </w:rPr>
        <w:t> are eager to make sure that you have all the necessary information and support that you need during this time</w:t>
      </w:r>
    </w:p>
    <w:p w14:paraId="416F1587" w14:textId="01049586" w:rsidR="00FD5B0C" w:rsidRDefault="003A57B0">
      <w:pPr>
        <w:pStyle w:val="ListParagraph"/>
        <w:numPr>
          <w:ilvl w:val="0"/>
          <w:numId w:val="6"/>
        </w:numPr>
      </w:pPr>
      <w:r>
        <w:t xml:space="preserve">there is a large range of support available via </w:t>
      </w:r>
      <w:hyperlink r:id="rId14" w:anchor="filterQuery=Pearson-UK:Category%2FTeaching-and-learning-materials" w:history="1">
        <w:r w:rsidRPr="007112F8">
          <w:rPr>
            <w:rStyle w:val="Hyperlink"/>
            <w:color w:val="0070C0"/>
          </w:rPr>
          <w:t>the subject pages</w:t>
        </w:r>
      </w:hyperlink>
      <w:r w:rsidRPr="007112F8">
        <w:rPr>
          <w:color w:val="0070C0"/>
        </w:rPr>
        <w:t xml:space="preserve"> </w:t>
      </w:r>
      <w:r>
        <w:t>on our website (including exam papers and NEA with commentaries and marks)</w:t>
      </w:r>
    </w:p>
    <w:p w14:paraId="5D99C012" w14:textId="77777777" w:rsidR="00FD5B0C" w:rsidRDefault="003A57B0">
      <w:pPr>
        <w:pStyle w:val="ListParagraph"/>
        <w:numPr>
          <w:ilvl w:val="0"/>
          <w:numId w:val="6"/>
        </w:numPr>
      </w:pPr>
      <w:r>
        <w:t>we will be providing guidance on rank ordering your students shortly</w:t>
      </w:r>
    </w:p>
    <w:p w14:paraId="6E6A5F2F" w14:textId="2ECC6216" w:rsidR="00FD5B0C" w:rsidRDefault="003A57B0">
      <w:pPr>
        <w:pStyle w:val="ListParagraph"/>
        <w:numPr>
          <w:ilvl w:val="0"/>
          <w:numId w:val="6"/>
        </w:numPr>
      </w:pPr>
      <w:r>
        <w:t xml:space="preserve">you can contact us via our </w:t>
      </w:r>
      <w:hyperlink r:id="rId15" w:history="1">
        <w:r w:rsidRPr="007112F8">
          <w:rPr>
            <w:rStyle w:val="Hyperlink"/>
            <w:color w:val="0070C0"/>
          </w:rPr>
          <w:t>Ask the Expert Service</w:t>
        </w:r>
      </w:hyperlink>
    </w:p>
    <w:p w14:paraId="01D27674" w14:textId="0467F26C" w:rsidR="00FD5B0C" w:rsidRDefault="00FD5B0C">
      <w:pPr>
        <w:pStyle w:val="ListBullet"/>
      </w:pPr>
    </w:p>
    <w:sectPr w:rsidR="00FD5B0C">
      <w:footerReference w:type="default" r:id="rId16"/>
      <w:footerReference w:type="first" r:id="rId17"/>
      <w:pgSz w:w="11900" w:h="16820"/>
      <w:pgMar w:top="772" w:right="794" w:bottom="567" w:left="794" w:header="3402"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2229" w14:textId="77777777" w:rsidR="00CD4508" w:rsidRDefault="00CD4508">
      <w:r>
        <w:separator/>
      </w:r>
    </w:p>
  </w:endnote>
  <w:endnote w:type="continuationSeparator" w:id="0">
    <w:p w14:paraId="2FBF87F6" w14:textId="77777777" w:rsidR="00CD4508" w:rsidRDefault="00CD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Open Sans">
    <w:altName w:val="Calibri"/>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Playfair Display">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A725" w14:textId="33F09DF8" w:rsidR="00FD5B0C" w:rsidRPr="007112F8" w:rsidRDefault="007112F8" w:rsidP="007112F8">
    <w:pPr>
      <w:pStyle w:val="Footer"/>
    </w:pPr>
    <w:r>
      <w:t>A level German_Grade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8D76B" w14:textId="700ACC83" w:rsidR="00FD5B0C" w:rsidRDefault="007112F8">
    <w:pPr>
      <w:pStyle w:val="Footer"/>
    </w:pPr>
    <w:r>
      <w:t>A level German_Grade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066E3" w14:textId="77777777" w:rsidR="00CD4508" w:rsidRDefault="00CD4508">
      <w:r>
        <w:separator/>
      </w:r>
    </w:p>
  </w:footnote>
  <w:footnote w:type="continuationSeparator" w:id="0">
    <w:p w14:paraId="10632B46" w14:textId="77777777" w:rsidR="00CD4508" w:rsidRDefault="00CD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5E7F"/>
    <w:multiLevelType w:val="hybridMultilevel"/>
    <w:tmpl w:val="41D4CCD8"/>
    <w:numStyleLink w:val="ImportedStyle3"/>
  </w:abstractNum>
  <w:abstractNum w:abstractNumId="1" w15:restartNumberingAfterBreak="0">
    <w:nsid w:val="1E9C7F08"/>
    <w:multiLevelType w:val="hybridMultilevel"/>
    <w:tmpl w:val="41D4CCD8"/>
    <w:styleLink w:val="ImportedStyle3"/>
    <w:lvl w:ilvl="0" w:tplc="F444722E">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060DF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4900994">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7622C2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FC6674">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F2AC9EE">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7AA46CE">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D2C6A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EB690BA">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1AF6CEC"/>
    <w:multiLevelType w:val="hybridMultilevel"/>
    <w:tmpl w:val="E09E86D4"/>
    <w:styleLink w:val="ImportedStyle2"/>
    <w:lvl w:ilvl="0" w:tplc="13223D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76BF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FC9C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FE92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CC9F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E86C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489A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209E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ECC4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E0253B"/>
    <w:multiLevelType w:val="hybridMultilevel"/>
    <w:tmpl w:val="2AA69140"/>
    <w:numStyleLink w:val="ImportedStyle4"/>
  </w:abstractNum>
  <w:abstractNum w:abstractNumId="4" w15:restartNumberingAfterBreak="0">
    <w:nsid w:val="69967B59"/>
    <w:multiLevelType w:val="hybridMultilevel"/>
    <w:tmpl w:val="E09E86D4"/>
    <w:numStyleLink w:val="ImportedStyle2"/>
  </w:abstractNum>
  <w:abstractNum w:abstractNumId="5" w15:restartNumberingAfterBreak="0">
    <w:nsid w:val="6A9B090B"/>
    <w:multiLevelType w:val="hybridMultilevel"/>
    <w:tmpl w:val="2AA69140"/>
    <w:styleLink w:val="ImportedStyle4"/>
    <w:lvl w:ilvl="0" w:tplc="E140FA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B2A9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E2D9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A25C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2E57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885A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0251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4407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A2E4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0C"/>
    <w:rsid w:val="0001649C"/>
    <w:rsid w:val="00035504"/>
    <w:rsid w:val="00042B08"/>
    <w:rsid w:val="00062D98"/>
    <w:rsid w:val="000648DC"/>
    <w:rsid w:val="000B2E5E"/>
    <w:rsid w:val="00110310"/>
    <w:rsid w:val="00110A1A"/>
    <w:rsid w:val="0018646E"/>
    <w:rsid w:val="001A30A5"/>
    <w:rsid w:val="001D697F"/>
    <w:rsid w:val="00216E24"/>
    <w:rsid w:val="002235C9"/>
    <w:rsid w:val="00271430"/>
    <w:rsid w:val="00312A07"/>
    <w:rsid w:val="00337E4C"/>
    <w:rsid w:val="00357288"/>
    <w:rsid w:val="00363791"/>
    <w:rsid w:val="003A57B0"/>
    <w:rsid w:val="003B17B2"/>
    <w:rsid w:val="003D5469"/>
    <w:rsid w:val="00556235"/>
    <w:rsid w:val="0068444B"/>
    <w:rsid w:val="006B200B"/>
    <w:rsid w:val="007112F8"/>
    <w:rsid w:val="00735584"/>
    <w:rsid w:val="00774334"/>
    <w:rsid w:val="008429BD"/>
    <w:rsid w:val="008815CE"/>
    <w:rsid w:val="008A4DAF"/>
    <w:rsid w:val="008B5E60"/>
    <w:rsid w:val="008F25B5"/>
    <w:rsid w:val="00903862"/>
    <w:rsid w:val="00960E07"/>
    <w:rsid w:val="00A4055B"/>
    <w:rsid w:val="00A50F00"/>
    <w:rsid w:val="00A60E36"/>
    <w:rsid w:val="00AC41CF"/>
    <w:rsid w:val="00B22146"/>
    <w:rsid w:val="00B32A2D"/>
    <w:rsid w:val="00B800EC"/>
    <w:rsid w:val="00C15D84"/>
    <w:rsid w:val="00C5320B"/>
    <w:rsid w:val="00CC54C2"/>
    <w:rsid w:val="00CD4508"/>
    <w:rsid w:val="00D45B1D"/>
    <w:rsid w:val="00EB4626"/>
    <w:rsid w:val="00EB6647"/>
    <w:rsid w:val="00EE45C6"/>
    <w:rsid w:val="00F7092B"/>
    <w:rsid w:val="00F90EC6"/>
    <w:rsid w:val="00FD5B0C"/>
    <w:rsid w:val="00FF1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DDA8"/>
  <w15:docId w15:val="{AA411DE2-E707-4E57-B108-6C2ACB97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next w:val="BodyA"/>
    <w:uiPriority w:val="9"/>
    <w:unhideWhenUsed/>
    <w:qFormat/>
    <w:pPr>
      <w:keepNext/>
      <w:keepLines/>
      <w:spacing w:before="600" w:after="240" w:line="360" w:lineRule="atLeast"/>
      <w:outlineLvl w:val="2"/>
    </w:pPr>
    <w:rPr>
      <w:rFonts w:ascii="Open Sans" w:eastAsia="Open Sans" w:hAnsi="Open Sans" w:cs="Open Sans"/>
      <w:b/>
      <w:bCs/>
      <w:color w:val="007FA3"/>
      <w:sz w:val="28"/>
      <w:szCs w:val="28"/>
      <w:u w:color="007FA3"/>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spacing w:before="240"/>
    </w:pPr>
    <w:rPr>
      <w:rFonts w:ascii="Open Sans" w:eastAsia="Open Sans" w:hAnsi="Open Sans" w:cs="Open Sans"/>
      <w:color w:val="505759"/>
      <w:u w:color="505759"/>
      <w:lang w:val="en-US"/>
    </w:rPr>
  </w:style>
  <w:style w:type="paragraph" w:styleId="Header">
    <w:name w:val="header"/>
    <w:pPr>
      <w:tabs>
        <w:tab w:val="center" w:pos="4680"/>
        <w:tab w:val="right" w:pos="9360"/>
      </w:tabs>
    </w:pPr>
    <w:rPr>
      <w:rFonts w:ascii="Open Sans" w:eastAsia="Open Sans" w:hAnsi="Open Sans" w:cs="Open Sans"/>
      <w:color w:val="505759"/>
      <w:u w:color="505759"/>
      <w:lang w:val="en-US"/>
    </w:rPr>
  </w:style>
  <w:style w:type="paragraph" w:styleId="BodyText">
    <w:name w:val="Body Text"/>
    <w:pPr>
      <w:spacing w:before="120" w:after="240" w:line="360" w:lineRule="atLeast"/>
    </w:pPr>
    <w:rPr>
      <w:rFonts w:ascii="Open Sans" w:eastAsia="Open Sans" w:hAnsi="Open Sans" w:cs="Open Sans"/>
      <w:color w:val="000000"/>
      <w:sz w:val="24"/>
      <w:szCs w:val="24"/>
      <w:u w:color="000000"/>
      <w:lang w:val="en-US"/>
    </w:rPr>
  </w:style>
  <w:style w:type="paragraph" w:customStyle="1" w:styleId="Heading">
    <w:name w:val="Heading"/>
    <w:next w:val="BodyA"/>
    <w:pPr>
      <w:keepNext/>
      <w:keepLines/>
      <w:spacing w:after="600"/>
      <w:outlineLvl w:val="0"/>
    </w:pPr>
    <w:rPr>
      <w:rFonts w:ascii="Playfair Display" w:eastAsia="Playfair Display" w:hAnsi="Playfair Display" w:cs="Playfair Display"/>
      <w:b/>
      <w:bCs/>
      <w:color w:val="007FA3"/>
      <w:sz w:val="52"/>
      <w:szCs w:val="52"/>
      <w:u w:color="007FA3"/>
      <w:lang w:val="en-US"/>
    </w:rPr>
  </w:style>
  <w:style w:type="paragraph" w:customStyle="1" w:styleId="BodyA">
    <w:name w:val="Body A"/>
    <w:rPr>
      <w:rFonts w:cs="Arial Unicode MS"/>
      <w:color w:val="000000"/>
      <w:sz w:val="24"/>
      <w:szCs w:val="24"/>
      <w:u w:color="000000"/>
      <w:lang w:val="en-US"/>
    </w:rPr>
  </w:style>
  <w:style w:type="numbering" w:customStyle="1" w:styleId="ImportedStyle2">
    <w:name w:val="Imported Style 2"/>
    <w:pPr>
      <w:numPr>
        <w:numId w:val="1"/>
      </w:numPr>
    </w:pPr>
  </w:style>
  <w:style w:type="paragraph" w:styleId="ListBullet">
    <w:name w:val="List Bullet"/>
    <w:pPr>
      <w:tabs>
        <w:tab w:val="left" w:pos="360"/>
      </w:tabs>
      <w:spacing w:before="120" w:after="120" w:line="360" w:lineRule="atLeast"/>
    </w:pPr>
    <w:rPr>
      <w:rFonts w:ascii="Open Sans" w:eastAsia="Open Sans" w:hAnsi="Open Sans" w:cs="Open Sans"/>
      <w:color w:val="000000"/>
      <w:sz w:val="24"/>
      <w:szCs w:val="24"/>
      <w:u w:color="000000"/>
      <w:lang w:val="en-US"/>
    </w:rPr>
  </w:style>
  <w:style w:type="numbering" w:customStyle="1" w:styleId="ImportedStyle3">
    <w:name w:val="Imported Style 3"/>
    <w:pPr>
      <w:numPr>
        <w:numId w:val="3"/>
      </w:numPr>
    </w:pPr>
  </w:style>
  <w:style w:type="paragraph" w:styleId="ListParagraph">
    <w:name w:val="List Paragraph"/>
    <w:pPr>
      <w:ind w:left="720"/>
    </w:pPr>
    <w:rPr>
      <w:rFonts w:ascii="Open Sans" w:eastAsia="Open Sans" w:hAnsi="Open Sans" w:cs="Open Sans"/>
      <w:color w:val="000000"/>
      <w:sz w:val="24"/>
      <w:szCs w:val="24"/>
      <w:u w:color="000000"/>
      <w:lang w:val="en-US"/>
    </w:rPr>
  </w:style>
  <w:style w:type="numbering" w:customStyle="1" w:styleId="ImportedStyle4">
    <w:name w:val="Imported Style 4"/>
    <w:pPr>
      <w:numPr>
        <w:numId w:val="5"/>
      </w:numPr>
    </w:pPr>
  </w:style>
  <w:style w:type="character" w:styleId="UnresolvedMention">
    <w:name w:val="Unresolved Mention"/>
    <w:basedOn w:val="DefaultParagraphFont"/>
    <w:uiPriority w:val="99"/>
    <w:semiHidden/>
    <w:unhideWhenUsed/>
    <w:rsid w:val="008815CE"/>
    <w:rPr>
      <w:color w:val="605E5C"/>
      <w:shd w:val="clear" w:color="auto" w:fill="E1DFDD"/>
    </w:rPr>
  </w:style>
  <w:style w:type="table" w:styleId="TableGrid">
    <w:name w:val="Table Grid"/>
    <w:basedOn w:val="TableNormal"/>
    <w:uiPriority w:val="39"/>
    <w:rsid w:val="00881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qualifications.pearson.com/en/support/support-topics/results-certification/grade-boundaries.html?Qualification-Family=AS-and-A-leve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ualifications.pearson.com/en/qualifications/edexcel-a-levels/german-2016.coursemateri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ualifications.pearson.com/en/qualifications/edexcel-a-levels/german-2016.coursematerials.html" TargetMode="External"/><Relationship Id="rId5" Type="http://schemas.openxmlformats.org/officeDocument/2006/relationships/styles" Target="styles.xml"/><Relationship Id="rId15" Type="http://schemas.openxmlformats.org/officeDocument/2006/relationships/hyperlink" Target="https://qualifications.pearson.com/en/contact-us/teachers.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alifications.pearson.com/en/qualifications/edexcel-a-levels/german-2016.coursematerials.html" TargetMode="External"/></Relationships>
</file>

<file path=word/theme/theme1.xml><?xml version="1.0" encoding="utf-8"?>
<a:theme xmlns:a="http://schemas.openxmlformats.org/drawingml/2006/main" name="Sky">
  <a:themeElements>
    <a:clrScheme name="Sky">
      <a:dk1>
        <a:srgbClr val="000000"/>
      </a:dk1>
      <a:lt1>
        <a:srgbClr val="FFFFFF"/>
      </a:lt1>
      <a:dk2>
        <a:srgbClr val="A7A7A7"/>
      </a:dk2>
      <a:lt2>
        <a:srgbClr val="535353"/>
      </a:lt2>
      <a:accent1>
        <a:srgbClr val="073779"/>
      </a:accent1>
      <a:accent2>
        <a:srgbClr val="8FD9FB"/>
      </a:accent2>
      <a:accent3>
        <a:srgbClr val="FFCC00"/>
      </a:accent3>
      <a:accent4>
        <a:srgbClr val="EB6615"/>
      </a:accent4>
      <a:accent5>
        <a:srgbClr val="C76402"/>
      </a:accent5>
      <a:accent6>
        <a:srgbClr val="B523B4"/>
      </a:accent6>
      <a:hlink>
        <a:srgbClr val="0000FF"/>
      </a:hlink>
      <a:folHlink>
        <a:srgbClr val="FF00FF"/>
      </a:folHlink>
    </a:clrScheme>
    <a:fontScheme name="Sky">
      <a:majorFont>
        <a:latin typeface="Helvetica Neue"/>
        <a:ea typeface="Helvetica Neue"/>
        <a:cs typeface="Helvetica Neue"/>
      </a:majorFont>
      <a:minorFont>
        <a:latin typeface="Helvetica Neue"/>
        <a:ea typeface="Helvetica Neue"/>
        <a:cs typeface="Helvetica Neue"/>
      </a:minorFont>
    </a:fontScheme>
    <a:fmtScheme name="Sk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88900" dist="63500" dir="3000000" rotWithShape="0">
              <a:srgbClr val="000000">
                <a:alpha val="35000"/>
              </a:srgbClr>
            </a:outerShdw>
          </a:effectLst>
        </a:effectStyle>
        <a:effectStyle>
          <a:effectLst>
            <a:outerShdw blurRad="88900" dist="63500" dir="3000000" rotWithShape="0">
              <a:srgbClr val="000000">
                <a:alpha val="35000"/>
              </a:srgbClr>
            </a:outerShdw>
          </a:effectLst>
        </a:effectStyle>
        <a:effectStyle>
          <a:effectLst>
            <a:outerShdw blurRad="88900" dist="63500" dir="30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88900" dist="63500" dir="30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88900" dist="63500" dir="30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2D18B-8C2F-44BD-868C-564E108EEC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EFA6B4-B7E0-451C-ADEE-38296ECF77F9}">
  <ds:schemaRefs>
    <ds:schemaRef ds:uri="http://schemas.microsoft.com/sharepoint/v3/contenttype/forms"/>
  </ds:schemaRefs>
</ds:datastoreItem>
</file>

<file path=customXml/itemProps3.xml><?xml version="1.0" encoding="utf-8"?>
<ds:datastoreItem xmlns:ds="http://schemas.openxmlformats.org/officeDocument/2006/customXml" ds:itemID="{550EE33D-6244-4361-92A8-37099888D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Malcolm Johnson</dc:creator>
  <cp:lastModifiedBy>Emma Clark</cp:lastModifiedBy>
  <cp:revision>2</cp:revision>
  <dcterms:created xsi:type="dcterms:W3CDTF">2020-05-14T15:55:00Z</dcterms:created>
  <dcterms:modified xsi:type="dcterms:W3CDTF">2020-05-14T15:55:00Z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