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36AC71B" w14:textId="77777777" w:rsidR="000F7F2B" w:rsidRPr="00CC5CBD" w:rsidRDefault="000F7F2B">
      <w:pPr>
        <w:pStyle w:val="Title"/>
        <w:spacing w:after="0" w:line="240" w:lineRule="auto"/>
        <w:ind w:right="-142"/>
        <w:rPr>
          <w:rFonts w:ascii="Open Sans" w:hAnsi="Open Sans" w:cs="Open Sans"/>
          <w:sz w:val="20"/>
          <w:szCs w:val="20"/>
        </w:rPr>
      </w:pPr>
    </w:p>
    <w:p w14:paraId="0265015F" w14:textId="77777777" w:rsidR="000F7F2B" w:rsidRPr="00CC5CBD" w:rsidRDefault="000F7F2B">
      <w:pPr>
        <w:pStyle w:val="Title"/>
        <w:spacing w:after="0" w:line="240" w:lineRule="auto"/>
        <w:ind w:right="-142"/>
        <w:rPr>
          <w:rFonts w:ascii="Open Sans" w:hAnsi="Open Sans" w:cs="Open Sans"/>
          <w:sz w:val="20"/>
          <w:szCs w:val="20"/>
        </w:rPr>
      </w:pPr>
    </w:p>
    <w:p w14:paraId="77F25394" w14:textId="77777777" w:rsidR="000F7F2B" w:rsidRPr="00CC5CBD" w:rsidRDefault="000F7F2B">
      <w:pPr>
        <w:pStyle w:val="Title"/>
        <w:spacing w:after="0" w:line="240" w:lineRule="auto"/>
        <w:ind w:right="-142"/>
        <w:rPr>
          <w:rFonts w:ascii="Open Sans" w:hAnsi="Open Sans" w:cs="Open Sans"/>
          <w:sz w:val="20"/>
          <w:szCs w:val="20"/>
        </w:rPr>
      </w:pPr>
    </w:p>
    <w:p w14:paraId="1387C2DF" w14:textId="77777777" w:rsidR="00B27719" w:rsidRDefault="00B27719">
      <w:pPr>
        <w:pStyle w:val="Title"/>
        <w:spacing w:after="0" w:line="240" w:lineRule="auto"/>
        <w:ind w:right="-142"/>
        <w:rPr>
          <w:rFonts w:ascii="Open Sans" w:eastAsia="Verdana" w:hAnsi="Open Sans" w:cs="Open Sans"/>
          <w:b/>
          <w:color w:val="333399"/>
          <w:sz w:val="20"/>
          <w:szCs w:val="20"/>
        </w:rPr>
      </w:pPr>
    </w:p>
    <w:p w14:paraId="5A4BB34F" w14:textId="77777777" w:rsidR="00B27719" w:rsidRDefault="00B27719">
      <w:pPr>
        <w:pStyle w:val="Title"/>
        <w:spacing w:after="0" w:line="240" w:lineRule="auto"/>
        <w:ind w:right="-142"/>
        <w:rPr>
          <w:rFonts w:ascii="Open Sans" w:eastAsia="Verdana" w:hAnsi="Open Sans" w:cs="Open Sans"/>
          <w:b/>
          <w:color w:val="333399"/>
          <w:sz w:val="20"/>
          <w:szCs w:val="20"/>
        </w:rPr>
      </w:pPr>
    </w:p>
    <w:p w14:paraId="252AD6C9" w14:textId="77777777" w:rsidR="00B27719" w:rsidRDefault="00B27719">
      <w:pPr>
        <w:pStyle w:val="Title"/>
        <w:spacing w:after="0" w:line="240" w:lineRule="auto"/>
        <w:ind w:right="-142"/>
        <w:rPr>
          <w:rFonts w:ascii="Open Sans" w:eastAsia="Verdana" w:hAnsi="Open Sans" w:cs="Open Sans"/>
          <w:b/>
          <w:color w:val="333399"/>
          <w:sz w:val="20"/>
          <w:szCs w:val="20"/>
        </w:rPr>
      </w:pPr>
    </w:p>
    <w:p w14:paraId="777EA4DF" w14:textId="77777777" w:rsidR="00B27719" w:rsidRDefault="00B27719">
      <w:pPr>
        <w:pStyle w:val="Title"/>
        <w:spacing w:after="0" w:line="240" w:lineRule="auto"/>
        <w:ind w:right="-142"/>
        <w:rPr>
          <w:rFonts w:ascii="Open Sans" w:eastAsia="Verdana" w:hAnsi="Open Sans" w:cs="Open Sans"/>
          <w:b/>
          <w:color w:val="333399"/>
          <w:sz w:val="20"/>
          <w:szCs w:val="20"/>
        </w:rPr>
      </w:pPr>
    </w:p>
    <w:p w14:paraId="508806A2" w14:textId="77777777" w:rsidR="00B27719" w:rsidRDefault="00B27719">
      <w:pPr>
        <w:pStyle w:val="Title"/>
        <w:spacing w:after="0" w:line="240" w:lineRule="auto"/>
        <w:ind w:right="-142"/>
        <w:rPr>
          <w:rFonts w:ascii="Open Sans" w:eastAsia="Verdana" w:hAnsi="Open Sans" w:cs="Open Sans"/>
          <w:b/>
          <w:color w:val="333399"/>
          <w:sz w:val="20"/>
          <w:szCs w:val="20"/>
        </w:rPr>
      </w:pPr>
    </w:p>
    <w:p w14:paraId="267D4C35" w14:textId="39DCFA6D" w:rsidR="000F7F2B" w:rsidRPr="00B27719" w:rsidRDefault="003E6C8E">
      <w:pPr>
        <w:pStyle w:val="Title"/>
        <w:spacing w:after="0" w:line="240" w:lineRule="auto"/>
        <w:ind w:right="-142"/>
        <w:rPr>
          <w:rFonts w:ascii="Times New Roman" w:hAnsi="Times New Roman" w:cs="Times New Roman"/>
          <w:color w:val="007FA3"/>
          <w:sz w:val="48"/>
          <w:szCs w:val="48"/>
        </w:rPr>
      </w:pPr>
      <w:r w:rsidRPr="00B27719">
        <w:rPr>
          <w:rFonts w:ascii="Times New Roman" w:eastAsia="Verdana" w:hAnsi="Times New Roman" w:cs="Times New Roman"/>
          <w:b/>
          <w:color w:val="007FA3"/>
          <w:sz w:val="48"/>
          <w:szCs w:val="48"/>
        </w:rPr>
        <w:t>IP</w:t>
      </w:r>
      <w:r w:rsidR="00AC7595" w:rsidRPr="00B27719">
        <w:rPr>
          <w:rFonts w:ascii="Times New Roman" w:eastAsia="Verdana" w:hAnsi="Times New Roman" w:cs="Times New Roman"/>
          <w:b/>
          <w:color w:val="007FA3"/>
          <w:sz w:val="48"/>
          <w:szCs w:val="48"/>
        </w:rPr>
        <w:t xml:space="preserve"> </w:t>
      </w:r>
      <w:r w:rsidR="00477978" w:rsidRPr="00B27719">
        <w:rPr>
          <w:rFonts w:ascii="Times New Roman" w:eastAsia="Verdana" w:hAnsi="Times New Roman" w:cs="Times New Roman"/>
          <w:b/>
          <w:color w:val="007FA3"/>
          <w:sz w:val="48"/>
          <w:szCs w:val="48"/>
        </w:rPr>
        <w:t>Licence Agreement for Higher Education Institutions offering Higher National</w:t>
      </w:r>
      <w:r w:rsidR="001F4FBD" w:rsidRPr="00B27719">
        <w:rPr>
          <w:rFonts w:ascii="Times New Roman" w:eastAsia="Verdana" w:hAnsi="Times New Roman" w:cs="Times New Roman"/>
          <w:b/>
          <w:color w:val="007FA3"/>
          <w:sz w:val="48"/>
          <w:szCs w:val="48"/>
        </w:rPr>
        <w:t xml:space="preserve"> Qualifications and Programmes based on </w:t>
      </w:r>
      <w:r w:rsidR="00477978" w:rsidRPr="00B27719">
        <w:rPr>
          <w:rFonts w:ascii="Times New Roman" w:eastAsia="Verdana" w:hAnsi="Times New Roman" w:cs="Times New Roman"/>
          <w:b/>
          <w:color w:val="007FA3"/>
          <w:sz w:val="48"/>
          <w:szCs w:val="48"/>
        </w:rPr>
        <w:t>Pearson</w:t>
      </w:r>
      <w:r w:rsidR="001F4FBD" w:rsidRPr="00B27719">
        <w:rPr>
          <w:rFonts w:ascii="Times New Roman" w:eastAsia="Verdana" w:hAnsi="Times New Roman" w:cs="Times New Roman"/>
          <w:b/>
          <w:color w:val="007FA3"/>
          <w:sz w:val="48"/>
          <w:szCs w:val="48"/>
        </w:rPr>
        <w:t>’s Specifications</w:t>
      </w:r>
    </w:p>
    <w:p w14:paraId="2FE145FA" w14:textId="77777777" w:rsidR="000F7F2B" w:rsidRPr="00B27719" w:rsidRDefault="000F7F2B">
      <w:pPr>
        <w:pStyle w:val="Title"/>
        <w:spacing w:after="0" w:line="240" w:lineRule="auto"/>
        <w:rPr>
          <w:rFonts w:ascii="Times New Roman" w:hAnsi="Times New Roman" w:cs="Times New Roman"/>
          <w:color w:val="007FA3"/>
          <w:sz w:val="48"/>
          <w:szCs w:val="48"/>
        </w:rPr>
      </w:pPr>
    </w:p>
    <w:p w14:paraId="70464E8D" w14:textId="37386F8B" w:rsidR="000F7F2B" w:rsidRPr="00B27719" w:rsidRDefault="00C76476">
      <w:pPr>
        <w:pStyle w:val="Title"/>
        <w:spacing w:after="0" w:line="240" w:lineRule="auto"/>
        <w:rPr>
          <w:color w:val="003057"/>
          <w:sz w:val="36"/>
          <w:szCs w:val="36"/>
        </w:rPr>
      </w:pPr>
      <w:bookmarkStart w:id="0" w:name="gjdgxs" w:colFirst="0" w:colLast="0"/>
      <w:bookmarkEnd w:id="0"/>
      <w:r w:rsidRPr="00B27719">
        <w:rPr>
          <w:rFonts w:eastAsia="Verdana"/>
          <w:b/>
          <w:color w:val="003057"/>
          <w:sz w:val="36"/>
          <w:szCs w:val="36"/>
        </w:rPr>
        <w:t xml:space="preserve">Version: </w:t>
      </w:r>
      <w:r w:rsidR="00D22681" w:rsidRPr="00B27719">
        <w:rPr>
          <w:rFonts w:eastAsia="Verdana"/>
          <w:b/>
          <w:color w:val="003057"/>
          <w:sz w:val="36"/>
          <w:szCs w:val="36"/>
        </w:rPr>
        <w:t>May</w:t>
      </w:r>
      <w:r w:rsidR="00AC7595" w:rsidRPr="00B27719">
        <w:rPr>
          <w:rFonts w:eastAsia="Verdana"/>
          <w:b/>
          <w:color w:val="003057"/>
          <w:sz w:val="36"/>
          <w:szCs w:val="36"/>
        </w:rPr>
        <w:t xml:space="preserve"> </w:t>
      </w:r>
      <w:r w:rsidR="00477978" w:rsidRPr="00B27719">
        <w:rPr>
          <w:rFonts w:eastAsia="Verdana"/>
          <w:b/>
          <w:color w:val="003057"/>
          <w:sz w:val="36"/>
          <w:szCs w:val="36"/>
        </w:rPr>
        <w:t>201</w:t>
      </w:r>
      <w:r w:rsidR="00AC7595" w:rsidRPr="00B27719">
        <w:rPr>
          <w:rFonts w:eastAsia="Verdana"/>
          <w:b/>
          <w:color w:val="003057"/>
          <w:sz w:val="36"/>
          <w:szCs w:val="36"/>
        </w:rPr>
        <w:t>7</w:t>
      </w:r>
    </w:p>
    <w:p w14:paraId="5440630B" w14:textId="77777777" w:rsidR="000F7F2B" w:rsidRPr="00CC5CBD" w:rsidRDefault="000F7F2B">
      <w:pPr>
        <w:rPr>
          <w:rFonts w:ascii="Open Sans" w:hAnsi="Open Sans" w:cs="Open Sans"/>
          <w:sz w:val="20"/>
          <w:szCs w:val="20"/>
        </w:rPr>
      </w:pPr>
    </w:p>
    <w:p w14:paraId="45248585" w14:textId="77777777" w:rsidR="000F7F2B" w:rsidRPr="00CC5CBD" w:rsidRDefault="000F7F2B">
      <w:pPr>
        <w:rPr>
          <w:rFonts w:ascii="Open Sans" w:hAnsi="Open Sans" w:cs="Open Sans"/>
          <w:sz w:val="20"/>
          <w:szCs w:val="20"/>
        </w:rPr>
      </w:pPr>
    </w:p>
    <w:p w14:paraId="25232811" w14:textId="77777777" w:rsidR="000F7F2B" w:rsidRPr="00CC5CBD" w:rsidRDefault="000F7F2B">
      <w:pPr>
        <w:rPr>
          <w:rFonts w:ascii="Open Sans" w:hAnsi="Open Sans" w:cs="Open Sans"/>
          <w:sz w:val="20"/>
          <w:szCs w:val="20"/>
        </w:rPr>
      </w:pPr>
    </w:p>
    <w:p w14:paraId="50C4EB77" w14:textId="77777777" w:rsidR="000F7F2B" w:rsidRPr="00CC5CBD" w:rsidRDefault="000F7F2B">
      <w:pPr>
        <w:rPr>
          <w:rFonts w:ascii="Open Sans" w:hAnsi="Open Sans" w:cs="Open Sans"/>
          <w:sz w:val="20"/>
          <w:szCs w:val="20"/>
        </w:rPr>
      </w:pPr>
    </w:p>
    <w:p w14:paraId="2D8A2586" w14:textId="77777777" w:rsidR="000F7F2B" w:rsidRPr="00CC5CBD" w:rsidRDefault="000F7F2B">
      <w:pPr>
        <w:rPr>
          <w:rFonts w:ascii="Open Sans" w:hAnsi="Open Sans" w:cs="Open Sans"/>
          <w:sz w:val="20"/>
          <w:szCs w:val="20"/>
        </w:rPr>
      </w:pPr>
    </w:p>
    <w:p w14:paraId="27CE51BC" w14:textId="77777777" w:rsidR="000F7F2B" w:rsidRPr="00CC5CBD" w:rsidRDefault="000F7F2B">
      <w:pPr>
        <w:rPr>
          <w:rFonts w:ascii="Open Sans" w:hAnsi="Open Sans" w:cs="Open Sans"/>
          <w:sz w:val="20"/>
          <w:szCs w:val="20"/>
        </w:rPr>
      </w:pPr>
    </w:p>
    <w:p w14:paraId="31225AC9" w14:textId="77777777" w:rsidR="000F7F2B" w:rsidRPr="00CC5CBD" w:rsidRDefault="000F7F2B">
      <w:pPr>
        <w:rPr>
          <w:rFonts w:ascii="Open Sans" w:hAnsi="Open Sans" w:cs="Open Sans"/>
          <w:sz w:val="20"/>
          <w:szCs w:val="20"/>
        </w:rPr>
      </w:pPr>
    </w:p>
    <w:p w14:paraId="0E01A16C" w14:textId="77777777" w:rsidR="000F7F2B" w:rsidRPr="00CC5CBD" w:rsidRDefault="000F7F2B">
      <w:pPr>
        <w:rPr>
          <w:rFonts w:ascii="Open Sans" w:hAnsi="Open Sans" w:cs="Open Sans"/>
          <w:sz w:val="20"/>
          <w:szCs w:val="20"/>
        </w:rPr>
      </w:pPr>
    </w:p>
    <w:p w14:paraId="6F9A5BE3" w14:textId="77777777" w:rsidR="000F7F2B" w:rsidRPr="00CC5CBD" w:rsidRDefault="000F7F2B">
      <w:pPr>
        <w:rPr>
          <w:rFonts w:ascii="Open Sans" w:hAnsi="Open Sans" w:cs="Open Sans"/>
          <w:sz w:val="20"/>
          <w:szCs w:val="20"/>
        </w:rPr>
      </w:pPr>
    </w:p>
    <w:p w14:paraId="0FC40163" w14:textId="77777777" w:rsidR="000F7F2B" w:rsidRPr="00CC5CBD" w:rsidRDefault="000F7F2B">
      <w:pPr>
        <w:rPr>
          <w:rFonts w:ascii="Open Sans" w:hAnsi="Open Sans" w:cs="Open Sans"/>
          <w:sz w:val="20"/>
          <w:szCs w:val="20"/>
        </w:rPr>
      </w:pPr>
    </w:p>
    <w:p w14:paraId="6D75F86C" w14:textId="77777777" w:rsidR="000F7F2B" w:rsidRPr="00CC5CBD" w:rsidRDefault="000F7F2B">
      <w:pPr>
        <w:rPr>
          <w:rFonts w:ascii="Open Sans" w:hAnsi="Open Sans" w:cs="Open Sans"/>
          <w:sz w:val="20"/>
          <w:szCs w:val="20"/>
        </w:rPr>
      </w:pPr>
    </w:p>
    <w:p w14:paraId="61C82FAF" w14:textId="77777777" w:rsidR="000F7F2B" w:rsidRPr="00CC5CBD" w:rsidRDefault="000F7F2B">
      <w:pPr>
        <w:rPr>
          <w:rFonts w:ascii="Open Sans" w:hAnsi="Open Sans" w:cs="Open Sans"/>
          <w:sz w:val="20"/>
          <w:szCs w:val="20"/>
        </w:rPr>
      </w:pPr>
    </w:p>
    <w:p w14:paraId="57DA2E81" w14:textId="77777777" w:rsidR="000F7F2B" w:rsidRPr="00CC5CBD" w:rsidRDefault="000F7F2B">
      <w:pPr>
        <w:rPr>
          <w:rFonts w:ascii="Open Sans" w:hAnsi="Open Sans" w:cs="Open Sans"/>
          <w:sz w:val="20"/>
          <w:szCs w:val="20"/>
        </w:rPr>
      </w:pPr>
    </w:p>
    <w:p w14:paraId="6836F436" w14:textId="77777777" w:rsidR="000F7F2B" w:rsidRPr="00CC5CBD" w:rsidRDefault="000F7F2B">
      <w:pPr>
        <w:rPr>
          <w:rFonts w:ascii="Open Sans" w:hAnsi="Open Sans" w:cs="Open Sans"/>
          <w:sz w:val="20"/>
          <w:szCs w:val="20"/>
        </w:rPr>
      </w:pPr>
    </w:p>
    <w:p w14:paraId="1F43A44B" w14:textId="77777777" w:rsidR="000F7F2B" w:rsidRPr="00CC5CBD" w:rsidRDefault="000F7F2B">
      <w:pPr>
        <w:rPr>
          <w:rFonts w:ascii="Open Sans" w:hAnsi="Open Sans" w:cs="Open Sans"/>
          <w:sz w:val="20"/>
          <w:szCs w:val="20"/>
        </w:rPr>
      </w:pPr>
    </w:p>
    <w:p w14:paraId="0102A193" w14:textId="77777777" w:rsidR="000F7F2B" w:rsidRPr="00CC5CBD" w:rsidRDefault="000F7F2B">
      <w:pPr>
        <w:rPr>
          <w:rFonts w:ascii="Open Sans" w:hAnsi="Open Sans" w:cs="Open Sans"/>
          <w:sz w:val="20"/>
          <w:szCs w:val="20"/>
        </w:rPr>
      </w:pPr>
    </w:p>
    <w:p w14:paraId="5CFD2D16" w14:textId="77777777" w:rsidR="000F7F2B" w:rsidRPr="00CC5CBD" w:rsidRDefault="000F7F2B">
      <w:pPr>
        <w:rPr>
          <w:rFonts w:ascii="Open Sans" w:hAnsi="Open Sans" w:cs="Open Sans"/>
          <w:sz w:val="20"/>
          <w:szCs w:val="20"/>
        </w:rPr>
      </w:pPr>
    </w:p>
    <w:p w14:paraId="77B79708" w14:textId="77777777" w:rsidR="000F7F2B" w:rsidRPr="00CC5CBD" w:rsidRDefault="000F7F2B">
      <w:pPr>
        <w:rPr>
          <w:rFonts w:ascii="Open Sans" w:hAnsi="Open Sans" w:cs="Open Sans"/>
          <w:sz w:val="20"/>
          <w:szCs w:val="20"/>
        </w:rPr>
      </w:pPr>
    </w:p>
    <w:p w14:paraId="592A04BE" w14:textId="77777777" w:rsidR="000F7F2B" w:rsidRPr="00CC5CBD" w:rsidRDefault="000F7F2B">
      <w:pPr>
        <w:rPr>
          <w:rFonts w:ascii="Open Sans" w:hAnsi="Open Sans" w:cs="Open Sans"/>
          <w:sz w:val="20"/>
          <w:szCs w:val="20"/>
        </w:rPr>
      </w:pPr>
    </w:p>
    <w:p w14:paraId="3C04CA29" w14:textId="77777777" w:rsidR="000F7F2B" w:rsidRPr="00CC5CBD" w:rsidRDefault="000F7F2B">
      <w:pPr>
        <w:rPr>
          <w:rFonts w:ascii="Open Sans" w:hAnsi="Open Sans" w:cs="Open Sans"/>
          <w:sz w:val="20"/>
          <w:szCs w:val="20"/>
        </w:rPr>
      </w:pPr>
    </w:p>
    <w:p w14:paraId="1ECC5845" w14:textId="77777777" w:rsidR="000F7F2B" w:rsidRPr="00CC5CBD" w:rsidRDefault="000F7F2B">
      <w:pPr>
        <w:rPr>
          <w:rFonts w:ascii="Open Sans" w:hAnsi="Open Sans" w:cs="Open Sans"/>
          <w:sz w:val="20"/>
          <w:szCs w:val="20"/>
        </w:rPr>
      </w:pPr>
    </w:p>
    <w:p w14:paraId="20630C96" w14:textId="77777777" w:rsidR="000F7F2B" w:rsidRPr="00CC5CBD" w:rsidRDefault="000F7F2B">
      <w:pPr>
        <w:rPr>
          <w:rFonts w:ascii="Open Sans" w:hAnsi="Open Sans" w:cs="Open Sans"/>
          <w:sz w:val="20"/>
          <w:szCs w:val="20"/>
        </w:rPr>
      </w:pPr>
    </w:p>
    <w:p w14:paraId="12E68ED7" w14:textId="77777777" w:rsidR="000F7F2B" w:rsidRPr="00CC5CBD" w:rsidRDefault="000F7F2B">
      <w:pPr>
        <w:rPr>
          <w:rFonts w:ascii="Open Sans" w:hAnsi="Open Sans" w:cs="Open Sans"/>
          <w:sz w:val="20"/>
          <w:szCs w:val="20"/>
        </w:rPr>
      </w:pPr>
    </w:p>
    <w:p w14:paraId="3202985C" w14:textId="77777777" w:rsidR="000F7F2B" w:rsidRPr="00CC5CBD" w:rsidRDefault="000F7F2B">
      <w:pPr>
        <w:rPr>
          <w:rFonts w:ascii="Open Sans" w:hAnsi="Open Sans" w:cs="Open Sans"/>
          <w:sz w:val="20"/>
          <w:szCs w:val="20"/>
        </w:rPr>
      </w:pPr>
    </w:p>
    <w:p w14:paraId="289BDB7D" w14:textId="77777777" w:rsidR="000F7F2B" w:rsidRPr="00CC5CBD" w:rsidRDefault="000F7F2B">
      <w:pPr>
        <w:rPr>
          <w:rFonts w:ascii="Open Sans" w:hAnsi="Open Sans" w:cs="Open Sans"/>
          <w:sz w:val="20"/>
          <w:szCs w:val="20"/>
        </w:rPr>
      </w:pPr>
    </w:p>
    <w:p w14:paraId="7E400A9F" w14:textId="77777777" w:rsidR="000F7F2B" w:rsidRPr="00CC5CBD" w:rsidRDefault="000F7F2B">
      <w:pPr>
        <w:rPr>
          <w:rFonts w:ascii="Open Sans" w:hAnsi="Open Sans" w:cs="Open Sans"/>
          <w:sz w:val="20"/>
          <w:szCs w:val="20"/>
        </w:rPr>
      </w:pPr>
    </w:p>
    <w:p w14:paraId="3C0993E5" w14:textId="5D960DA2" w:rsidR="000F7F2B" w:rsidRPr="00B27719" w:rsidRDefault="00B27719">
      <w:pPr>
        <w:pStyle w:val="Heading1"/>
        <w:spacing w:before="240" w:after="60" w:line="240" w:lineRule="auto"/>
        <w:rPr>
          <w:color w:val="003057"/>
          <w:sz w:val="36"/>
          <w:szCs w:val="36"/>
        </w:rPr>
      </w:pPr>
      <w:bookmarkStart w:id="1" w:name="30j0zll" w:colFirst="0" w:colLast="0"/>
      <w:bookmarkEnd w:id="1"/>
      <w:r w:rsidRPr="00B27719">
        <w:rPr>
          <w:rFonts w:eastAsia="Verdana"/>
          <w:b/>
          <w:color w:val="003057"/>
          <w:sz w:val="36"/>
          <w:szCs w:val="36"/>
        </w:rPr>
        <w:lastRenderedPageBreak/>
        <w:t>I</w:t>
      </w:r>
      <w:r w:rsidR="003E6C8E" w:rsidRPr="00B27719">
        <w:rPr>
          <w:rFonts w:eastAsia="Verdana"/>
          <w:b/>
          <w:color w:val="003057"/>
          <w:sz w:val="36"/>
          <w:szCs w:val="36"/>
        </w:rPr>
        <w:t>P</w:t>
      </w:r>
      <w:r w:rsidR="0071099A" w:rsidRPr="00B27719">
        <w:rPr>
          <w:rFonts w:eastAsia="Verdana"/>
          <w:b/>
          <w:color w:val="003057"/>
          <w:sz w:val="36"/>
          <w:szCs w:val="36"/>
        </w:rPr>
        <w:t xml:space="preserve"> </w:t>
      </w:r>
      <w:r w:rsidR="00477978" w:rsidRPr="00B27719">
        <w:rPr>
          <w:rFonts w:eastAsia="Verdana"/>
          <w:b/>
          <w:color w:val="003057"/>
          <w:sz w:val="36"/>
          <w:szCs w:val="36"/>
        </w:rPr>
        <w:t>Licence Agreement</w:t>
      </w:r>
    </w:p>
    <w:p w14:paraId="5AF4CD3A" w14:textId="77777777" w:rsidR="000F7F2B" w:rsidRPr="00CC5CBD" w:rsidRDefault="000F7F2B">
      <w:pPr>
        <w:rPr>
          <w:rFonts w:ascii="Open Sans" w:hAnsi="Open Sans" w:cs="Open Sans"/>
          <w:sz w:val="20"/>
          <w:szCs w:val="20"/>
        </w:rPr>
      </w:pPr>
    </w:p>
    <w:tbl>
      <w:tblPr>
        <w:tblStyle w:val="a"/>
        <w:tblW w:w="933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55"/>
        <w:gridCol w:w="8175"/>
      </w:tblGrid>
      <w:tr w:rsidR="000F7F2B" w:rsidRPr="00B27719" w14:paraId="3EC35050" w14:textId="77777777">
        <w:trPr>
          <w:trHeight w:val="540"/>
          <w:jc w:val="center"/>
        </w:trPr>
        <w:tc>
          <w:tcPr>
            <w:tcW w:w="1155" w:type="dxa"/>
            <w:tcMar>
              <w:top w:w="100" w:type="dxa"/>
              <w:left w:w="100" w:type="dxa"/>
              <w:bottom w:w="100" w:type="dxa"/>
              <w:right w:w="100" w:type="dxa"/>
            </w:tcMar>
          </w:tcPr>
          <w:p w14:paraId="7C721511" w14:textId="77777777" w:rsidR="000F7F2B" w:rsidRPr="00B27719" w:rsidRDefault="000F7F2B">
            <w:pPr>
              <w:spacing w:line="240" w:lineRule="auto"/>
              <w:contextualSpacing w:val="0"/>
              <w:rPr>
                <w:sz w:val="24"/>
                <w:szCs w:val="24"/>
              </w:rPr>
            </w:pPr>
          </w:p>
        </w:tc>
        <w:tc>
          <w:tcPr>
            <w:tcW w:w="8175" w:type="dxa"/>
            <w:tcMar>
              <w:top w:w="100" w:type="dxa"/>
              <w:left w:w="100" w:type="dxa"/>
              <w:bottom w:w="100" w:type="dxa"/>
              <w:right w:w="100" w:type="dxa"/>
            </w:tcMar>
          </w:tcPr>
          <w:p w14:paraId="6FC6F574" w14:textId="2D3E747F" w:rsidR="000F7F2B" w:rsidRPr="00B27719" w:rsidRDefault="00477978">
            <w:pPr>
              <w:spacing w:line="240" w:lineRule="auto"/>
              <w:contextualSpacing w:val="0"/>
              <w:rPr>
                <w:sz w:val="24"/>
                <w:szCs w:val="24"/>
              </w:rPr>
            </w:pPr>
            <w:r w:rsidRPr="00B27719">
              <w:rPr>
                <w:rFonts w:eastAsia="Verdana"/>
                <w:b/>
                <w:sz w:val="24"/>
                <w:szCs w:val="24"/>
              </w:rPr>
              <w:t>PARTIES:</w:t>
            </w:r>
          </w:p>
        </w:tc>
      </w:tr>
      <w:tr w:rsidR="000F7F2B" w:rsidRPr="00B27719" w14:paraId="042E029C" w14:textId="77777777">
        <w:trPr>
          <w:trHeight w:val="540"/>
          <w:jc w:val="center"/>
        </w:trPr>
        <w:tc>
          <w:tcPr>
            <w:tcW w:w="1155" w:type="dxa"/>
            <w:tcMar>
              <w:top w:w="100" w:type="dxa"/>
              <w:left w:w="100" w:type="dxa"/>
              <w:bottom w:w="100" w:type="dxa"/>
              <w:right w:w="100" w:type="dxa"/>
            </w:tcMar>
          </w:tcPr>
          <w:p w14:paraId="65ECD990" w14:textId="77777777" w:rsidR="000F7F2B" w:rsidRPr="00B27719" w:rsidRDefault="00477978">
            <w:pPr>
              <w:spacing w:line="240" w:lineRule="auto"/>
              <w:contextualSpacing w:val="0"/>
              <w:rPr>
                <w:sz w:val="24"/>
                <w:szCs w:val="24"/>
              </w:rPr>
            </w:pPr>
            <w:r w:rsidRPr="00B27719">
              <w:rPr>
                <w:rFonts w:eastAsia="Verdana"/>
                <w:sz w:val="24"/>
                <w:szCs w:val="24"/>
              </w:rPr>
              <w:t>(i)</w:t>
            </w:r>
          </w:p>
          <w:p w14:paraId="4A63549C" w14:textId="77777777" w:rsidR="000F7F2B" w:rsidRPr="00B27719" w:rsidRDefault="000F7F2B">
            <w:pPr>
              <w:spacing w:line="240" w:lineRule="auto"/>
              <w:contextualSpacing w:val="0"/>
              <w:rPr>
                <w:sz w:val="24"/>
                <w:szCs w:val="24"/>
              </w:rPr>
            </w:pPr>
          </w:p>
        </w:tc>
        <w:tc>
          <w:tcPr>
            <w:tcW w:w="8175" w:type="dxa"/>
            <w:tcMar>
              <w:top w:w="100" w:type="dxa"/>
              <w:left w:w="100" w:type="dxa"/>
              <w:bottom w:w="100" w:type="dxa"/>
              <w:right w:w="100" w:type="dxa"/>
            </w:tcMar>
          </w:tcPr>
          <w:p w14:paraId="5FB1C2B5" w14:textId="77777777" w:rsidR="000F7F2B" w:rsidRPr="00B27719" w:rsidRDefault="00477978">
            <w:pPr>
              <w:spacing w:line="240" w:lineRule="auto"/>
              <w:contextualSpacing w:val="0"/>
              <w:rPr>
                <w:sz w:val="24"/>
                <w:szCs w:val="24"/>
              </w:rPr>
            </w:pPr>
            <w:r w:rsidRPr="00B27719">
              <w:rPr>
                <w:rFonts w:eastAsia="Verdana"/>
                <w:sz w:val="24"/>
                <w:szCs w:val="24"/>
              </w:rPr>
              <w:t>Pearson Education Ltd, whose registered office is located at 80 Strand, London WC2R 0RL  and whose registered number is 872828 (“Pearson”); and</w:t>
            </w:r>
          </w:p>
          <w:p w14:paraId="41877205" w14:textId="77777777" w:rsidR="000F7F2B" w:rsidRPr="00B27719" w:rsidRDefault="000F7F2B">
            <w:pPr>
              <w:spacing w:line="240" w:lineRule="auto"/>
              <w:contextualSpacing w:val="0"/>
              <w:rPr>
                <w:sz w:val="24"/>
                <w:szCs w:val="24"/>
              </w:rPr>
            </w:pPr>
          </w:p>
        </w:tc>
      </w:tr>
      <w:tr w:rsidR="000F7F2B" w:rsidRPr="00B27719" w14:paraId="3994FB8F" w14:textId="77777777">
        <w:trPr>
          <w:trHeight w:val="540"/>
          <w:jc w:val="center"/>
        </w:trPr>
        <w:tc>
          <w:tcPr>
            <w:tcW w:w="1155" w:type="dxa"/>
            <w:tcMar>
              <w:top w:w="100" w:type="dxa"/>
              <w:left w:w="100" w:type="dxa"/>
              <w:bottom w:w="100" w:type="dxa"/>
              <w:right w:w="100" w:type="dxa"/>
            </w:tcMar>
          </w:tcPr>
          <w:p w14:paraId="7426D783" w14:textId="77777777" w:rsidR="000F7F2B" w:rsidRPr="00B27719" w:rsidRDefault="00477978">
            <w:pPr>
              <w:spacing w:line="240" w:lineRule="auto"/>
              <w:contextualSpacing w:val="0"/>
              <w:rPr>
                <w:sz w:val="24"/>
                <w:szCs w:val="24"/>
              </w:rPr>
            </w:pPr>
            <w:r w:rsidRPr="00B27719">
              <w:rPr>
                <w:rFonts w:eastAsia="Verdana"/>
                <w:sz w:val="24"/>
                <w:szCs w:val="24"/>
              </w:rPr>
              <w:t>(ii)</w:t>
            </w:r>
          </w:p>
        </w:tc>
        <w:tc>
          <w:tcPr>
            <w:tcW w:w="8175" w:type="dxa"/>
            <w:tcMar>
              <w:top w:w="100" w:type="dxa"/>
              <w:left w:w="100" w:type="dxa"/>
              <w:bottom w:w="100" w:type="dxa"/>
              <w:right w:w="100" w:type="dxa"/>
            </w:tcMar>
          </w:tcPr>
          <w:p w14:paraId="133A2B1F" w14:textId="50080992" w:rsidR="000F7F2B" w:rsidRPr="00B27719" w:rsidRDefault="00477978" w:rsidP="00B27719">
            <w:pPr>
              <w:spacing w:line="240" w:lineRule="auto"/>
              <w:contextualSpacing w:val="0"/>
              <w:rPr>
                <w:sz w:val="24"/>
                <w:szCs w:val="24"/>
              </w:rPr>
            </w:pPr>
            <w:r w:rsidRPr="00B27719">
              <w:rPr>
                <w:rFonts w:eastAsia="Verdana"/>
                <w:sz w:val="24"/>
                <w:szCs w:val="24"/>
              </w:rPr>
              <w:t>University of…</w:t>
            </w:r>
            <w:r w:rsidR="00CC5CBD" w:rsidRPr="00B27719">
              <w:rPr>
                <w:rFonts w:eastAsia="Verdana"/>
                <w:b/>
                <w:sz w:val="24"/>
                <w:szCs w:val="24"/>
              </w:rPr>
              <w:t>[</w:t>
            </w:r>
            <w:r w:rsidRPr="00B27719">
              <w:rPr>
                <w:rFonts w:eastAsia="Verdana"/>
                <w:b/>
                <w:i/>
                <w:sz w:val="24"/>
                <w:szCs w:val="24"/>
              </w:rPr>
              <w:t>Name, Address</w:t>
            </w:r>
            <w:r w:rsidR="00CC5CBD" w:rsidRPr="00B27719">
              <w:rPr>
                <w:rFonts w:eastAsia="Verdana"/>
                <w:b/>
                <w:sz w:val="24"/>
                <w:szCs w:val="24"/>
              </w:rPr>
              <w:t>]</w:t>
            </w:r>
            <w:r w:rsidRPr="00B27719">
              <w:rPr>
                <w:rFonts w:eastAsia="Verdana"/>
                <w:b/>
                <w:sz w:val="24"/>
                <w:szCs w:val="24"/>
              </w:rPr>
              <w:t xml:space="preserve"> (“Institution”)</w:t>
            </w:r>
            <w:bookmarkStart w:id="2" w:name="_GoBack"/>
            <w:bookmarkEnd w:id="2"/>
          </w:p>
        </w:tc>
      </w:tr>
      <w:tr w:rsidR="000F7F2B" w:rsidRPr="00B27719" w14:paraId="0C9CB4A3" w14:textId="77777777">
        <w:trPr>
          <w:trHeight w:val="540"/>
          <w:jc w:val="center"/>
        </w:trPr>
        <w:tc>
          <w:tcPr>
            <w:tcW w:w="1155" w:type="dxa"/>
            <w:tcMar>
              <w:top w:w="100" w:type="dxa"/>
              <w:left w:w="100" w:type="dxa"/>
              <w:bottom w:w="100" w:type="dxa"/>
              <w:right w:w="100" w:type="dxa"/>
            </w:tcMar>
          </w:tcPr>
          <w:p w14:paraId="238378BD" w14:textId="77777777" w:rsidR="000F7F2B" w:rsidRPr="00B27719" w:rsidRDefault="000F7F2B">
            <w:pPr>
              <w:spacing w:line="240" w:lineRule="auto"/>
              <w:contextualSpacing w:val="0"/>
              <w:rPr>
                <w:sz w:val="24"/>
                <w:szCs w:val="24"/>
              </w:rPr>
            </w:pPr>
          </w:p>
        </w:tc>
        <w:tc>
          <w:tcPr>
            <w:tcW w:w="8175" w:type="dxa"/>
            <w:tcMar>
              <w:top w:w="100" w:type="dxa"/>
              <w:left w:w="100" w:type="dxa"/>
              <w:bottom w:w="100" w:type="dxa"/>
              <w:right w:w="100" w:type="dxa"/>
            </w:tcMar>
          </w:tcPr>
          <w:p w14:paraId="05BBB1B2" w14:textId="77777777" w:rsidR="000F7F2B" w:rsidRPr="00B27719" w:rsidRDefault="00477978">
            <w:pPr>
              <w:spacing w:line="240" w:lineRule="auto"/>
              <w:contextualSpacing w:val="0"/>
              <w:rPr>
                <w:sz w:val="24"/>
                <w:szCs w:val="24"/>
              </w:rPr>
            </w:pPr>
            <w:r w:rsidRPr="00B27719">
              <w:rPr>
                <w:rFonts w:eastAsia="Verdana"/>
                <w:b/>
                <w:sz w:val="24"/>
                <w:szCs w:val="24"/>
              </w:rPr>
              <w:t>RECITALS</w:t>
            </w:r>
            <w:r w:rsidRPr="00B27719">
              <w:rPr>
                <w:rFonts w:eastAsia="Verdana"/>
                <w:sz w:val="24"/>
                <w:szCs w:val="24"/>
              </w:rPr>
              <w:t>:</w:t>
            </w:r>
          </w:p>
        </w:tc>
      </w:tr>
      <w:tr w:rsidR="000F7F2B" w:rsidRPr="00B27719" w14:paraId="233E25DC" w14:textId="77777777">
        <w:trPr>
          <w:trHeight w:val="540"/>
          <w:jc w:val="center"/>
        </w:trPr>
        <w:tc>
          <w:tcPr>
            <w:tcW w:w="1155" w:type="dxa"/>
            <w:tcMar>
              <w:top w:w="100" w:type="dxa"/>
              <w:left w:w="100" w:type="dxa"/>
              <w:bottom w:w="100" w:type="dxa"/>
              <w:right w:w="100" w:type="dxa"/>
            </w:tcMar>
          </w:tcPr>
          <w:p w14:paraId="72CA82D1" w14:textId="77777777" w:rsidR="000F7F2B" w:rsidRPr="00B27719" w:rsidRDefault="00477978">
            <w:pPr>
              <w:spacing w:line="240" w:lineRule="auto"/>
              <w:contextualSpacing w:val="0"/>
              <w:rPr>
                <w:sz w:val="24"/>
                <w:szCs w:val="24"/>
              </w:rPr>
            </w:pPr>
            <w:r w:rsidRPr="00B27719">
              <w:rPr>
                <w:rFonts w:eastAsia="Verdana"/>
                <w:sz w:val="24"/>
                <w:szCs w:val="24"/>
              </w:rPr>
              <w:t>A</w:t>
            </w:r>
          </w:p>
          <w:p w14:paraId="5E096F34" w14:textId="77777777" w:rsidR="000F7F2B" w:rsidRPr="00B27719" w:rsidRDefault="000F7F2B">
            <w:pPr>
              <w:spacing w:line="240" w:lineRule="auto"/>
              <w:contextualSpacing w:val="0"/>
              <w:rPr>
                <w:sz w:val="24"/>
                <w:szCs w:val="24"/>
              </w:rPr>
            </w:pPr>
          </w:p>
        </w:tc>
        <w:tc>
          <w:tcPr>
            <w:tcW w:w="8175" w:type="dxa"/>
            <w:tcMar>
              <w:top w:w="100" w:type="dxa"/>
              <w:left w:w="100" w:type="dxa"/>
              <w:bottom w:w="100" w:type="dxa"/>
              <w:right w:w="100" w:type="dxa"/>
            </w:tcMar>
          </w:tcPr>
          <w:p w14:paraId="2AFC11A8" w14:textId="6295F96D" w:rsidR="000F7F2B" w:rsidRPr="00B27719" w:rsidRDefault="00477978" w:rsidP="002666CE">
            <w:pPr>
              <w:tabs>
                <w:tab w:val="center" w:pos="4153"/>
                <w:tab w:val="right" w:pos="8306"/>
              </w:tabs>
              <w:spacing w:line="240" w:lineRule="auto"/>
              <w:contextualSpacing w:val="0"/>
              <w:rPr>
                <w:sz w:val="24"/>
                <w:szCs w:val="24"/>
              </w:rPr>
            </w:pPr>
            <w:r w:rsidRPr="00B27719">
              <w:rPr>
                <w:rFonts w:eastAsia="Verdana"/>
                <w:sz w:val="24"/>
                <w:szCs w:val="24"/>
              </w:rPr>
              <w:t xml:space="preserve">Pearson is the owner of </w:t>
            </w:r>
            <w:r w:rsidRPr="00B27719">
              <w:rPr>
                <w:rFonts w:eastAsia="Verdana"/>
                <w:i/>
                <w:sz w:val="24"/>
                <w:szCs w:val="24"/>
              </w:rPr>
              <w:t>Higher National Certificate</w:t>
            </w:r>
            <w:r w:rsidRPr="00B27719">
              <w:rPr>
                <w:rFonts w:eastAsia="Verdana"/>
                <w:sz w:val="24"/>
                <w:szCs w:val="24"/>
              </w:rPr>
              <w:t xml:space="preserve"> and </w:t>
            </w:r>
            <w:r w:rsidRPr="00B27719">
              <w:rPr>
                <w:rFonts w:eastAsia="Verdana"/>
                <w:i/>
                <w:sz w:val="24"/>
                <w:szCs w:val="24"/>
              </w:rPr>
              <w:t>Higher National Diploma</w:t>
            </w:r>
            <w:r w:rsidRPr="00B27719">
              <w:rPr>
                <w:rFonts w:eastAsia="Verdana"/>
                <w:sz w:val="24"/>
                <w:szCs w:val="24"/>
              </w:rPr>
              <w:t xml:space="preserve"> registered trademarks</w:t>
            </w:r>
            <w:r w:rsidR="0071099A" w:rsidRPr="00B27719">
              <w:rPr>
                <w:rFonts w:eastAsia="Verdana"/>
                <w:sz w:val="24"/>
                <w:szCs w:val="24"/>
              </w:rPr>
              <w:t xml:space="preserve"> and of </w:t>
            </w:r>
            <w:r w:rsidR="002666CE" w:rsidRPr="00B27719">
              <w:rPr>
                <w:rFonts w:eastAsia="Verdana"/>
                <w:sz w:val="24"/>
                <w:szCs w:val="24"/>
              </w:rPr>
              <w:t xml:space="preserve">BTEC </w:t>
            </w:r>
            <w:r w:rsidR="0071099A" w:rsidRPr="00B27719">
              <w:rPr>
                <w:rFonts w:eastAsia="Verdana"/>
                <w:sz w:val="24"/>
                <w:szCs w:val="24"/>
              </w:rPr>
              <w:t>Higher National qualifications</w:t>
            </w:r>
            <w:r w:rsidRPr="00B27719">
              <w:rPr>
                <w:rFonts w:eastAsia="Verdana"/>
                <w:sz w:val="24"/>
                <w:szCs w:val="24"/>
              </w:rPr>
              <w:t>.</w:t>
            </w:r>
            <w:r w:rsidR="000C75B6" w:rsidRPr="00B27719">
              <w:rPr>
                <w:rFonts w:eastAsia="Verdana"/>
                <w:sz w:val="24"/>
                <w:szCs w:val="24"/>
              </w:rPr>
              <w:t xml:space="preserve"> </w:t>
            </w:r>
          </w:p>
        </w:tc>
      </w:tr>
      <w:tr w:rsidR="000F7F2B" w:rsidRPr="00B27719" w14:paraId="29EBBEE6" w14:textId="77777777">
        <w:trPr>
          <w:trHeight w:val="540"/>
          <w:jc w:val="center"/>
        </w:trPr>
        <w:tc>
          <w:tcPr>
            <w:tcW w:w="1155" w:type="dxa"/>
            <w:tcMar>
              <w:top w:w="100" w:type="dxa"/>
              <w:left w:w="100" w:type="dxa"/>
              <w:bottom w:w="100" w:type="dxa"/>
              <w:right w:w="100" w:type="dxa"/>
            </w:tcMar>
          </w:tcPr>
          <w:p w14:paraId="223F3BDF" w14:textId="355D7F49" w:rsidR="000F7F2B" w:rsidRPr="00B27719" w:rsidRDefault="00477978">
            <w:pPr>
              <w:spacing w:line="240" w:lineRule="auto"/>
              <w:contextualSpacing w:val="0"/>
              <w:rPr>
                <w:sz w:val="24"/>
                <w:szCs w:val="24"/>
              </w:rPr>
            </w:pPr>
            <w:r w:rsidRPr="00B27719">
              <w:rPr>
                <w:rFonts w:eastAsia="Verdana"/>
                <w:sz w:val="24"/>
                <w:szCs w:val="24"/>
              </w:rPr>
              <w:t>B</w:t>
            </w:r>
          </w:p>
          <w:p w14:paraId="6EE89068" w14:textId="77777777" w:rsidR="000F7F2B" w:rsidRPr="00B27719" w:rsidRDefault="000F7F2B">
            <w:pPr>
              <w:spacing w:line="240" w:lineRule="auto"/>
              <w:contextualSpacing w:val="0"/>
              <w:rPr>
                <w:sz w:val="24"/>
                <w:szCs w:val="24"/>
              </w:rPr>
            </w:pPr>
          </w:p>
        </w:tc>
        <w:tc>
          <w:tcPr>
            <w:tcW w:w="8175" w:type="dxa"/>
            <w:tcMar>
              <w:top w:w="100" w:type="dxa"/>
              <w:left w:w="100" w:type="dxa"/>
              <w:bottom w:w="100" w:type="dxa"/>
              <w:right w:w="100" w:type="dxa"/>
            </w:tcMar>
          </w:tcPr>
          <w:p w14:paraId="68DE0ED4" w14:textId="4F275C9C" w:rsidR="000F7F2B" w:rsidRPr="00B27719" w:rsidRDefault="00477978" w:rsidP="002666CE">
            <w:pPr>
              <w:tabs>
                <w:tab w:val="center" w:pos="4153"/>
                <w:tab w:val="right" w:pos="8306"/>
              </w:tabs>
              <w:spacing w:line="240" w:lineRule="auto"/>
              <w:contextualSpacing w:val="0"/>
              <w:rPr>
                <w:sz w:val="24"/>
                <w:szCs w:val="24"/>
              </w:rPr>
            </w:pPr>
            <w:r w:rsidRPr="00B27719">
              <w:rPr>
                <w:rFonts w:eastAsia="Verdana"/>
                <w:sz w:val="24"/>
                <w:szCs w:val="24"/>
              </w:rPr>
              <w:t>Institution is a University with Taught Degree Awarding Powers, established with the primary aim of providing higher education.</w:t>
            </w:r>
          </w:p>
        </w:tc>
      </w:tr>
      <w:tr w:rsidR="000F7F2B" w:rsidRPr="00B27719" w14:paraId="32C43D37" w14:textId="77777777">
        <w:trPr>
          <w:trHeight w:val="540"/>
          <w:jc w:val="center"/>
        </w:trPr>
        <w:tc>
          <w:tcPr>
            <w:tcW w:w="1155" w:type="dxa"/>
            <w:tcMar>
              <w:top w:w="100" w:type="dxa"/>
              <w:left w:w="100" w:type="dxa"/>
              <w:bottom w:w="100" w:type="dxa"/>
              <w:right w:w="100" w:type="dxa"/>
            </w:tcMar>
          </w:tcPr>
          <w:p w14:paraId="540735E6" w14:textId="77777777" w:rsidR="000F7F2B" w:rsidRPr="00B27719" w:rsidRDefault="00477978">
            <w:pPr>
              <w:spacing w:line="240" w:lineRule="auto"/>
              <w:contextualSpacing w:val="0"/>
              <w:rPr>
                <w:sz w:val="24"/>
                <w:szCs w:val="24"/>
              </w:rPr>
            </w:pPr>
            <w:r w:rsidRPr="00B27719">
              <w:rPr>
                <w:rFonts w:eastAsia="Verdana"/>
                <w:sz w:val="24"/>
                <w:szCs w:val="24"/>
              </w:rPr>
              <w:t>C</w:t>
            </w:r>
          </w:p>
          <w:p w14:paraId="33ABA92C" w14:textId="77777777" w:rsidR="000F7F2B" w:rsidRPr="00B27719" w:rsidRDefault="000F7F2B">
            <w:pPr>
              <w:spacing w:line="240" w:lineRule="auto"/>
              <w:contextualSpacing w:val="0"/>
              <w:rPr>
                <w:sz w:val="24"/>
                <w:szCs w:val="24"/>
              </w:rPr>
            </w:pPr>
          </w:p>
        </w:tc>
        <w:tc>
          <w:tcPr>
            <w:tcW w:w="8175" w:type="dxa"/>
            <w:tcMar>
              <w:top w:w="100" w:type="dxa"/>
              <w:left w:w="100" w:type="dxa"/>
              <w:bottom w:w="100" w:type="dxa"/>
              <w:right w:w="100" w:type="dxa"/>
            </w:tcMar>
          </w:tcPr>
          <w:p w14:paraId="3897CDF0" w14:textId="5EE8E903" w:rsidR="000F7F2B" w:rsidRPr="00B27719" w:rsidRDefault="0071099A" w:rsidP="008C0172">
            <w:pPr>
              <w:spacing w:line="240" w:lineRule="auto"/>
              <w:contextualSpacing w:val="0"/>
              <w:rPr>
                <w:sz w:val="24"/>
                <w:szCs w:val="24"/>
              </w:rPr>
            </w:pPr>
            <w:r w:rsidRPr="00B27719">
              <w:rPr>
                <w:rFonts w:eastAsia="Verdana"/>
                <w:sz w:val="24"/>
                <w:szCs w:val="24"/>
              </w:rPr>
              <w:t xml:space="preserve">Pearson has granted </w:t>
            </w:r>
            <w:r w:rsidR="00477978" w:rsidRPr="00B27719">
              <w:rPr>
                <w:rFonts w:eastAsia="Verdana"/>
                <w:sz w:val="24"/>
                <w:szCs w:val="24"/>
              </w:rPr>
              <w:t xml:space="preserve">Institution </w:t>
            </w:r>
            <w:r w:rsidRPr="00B27719">
              <w:rPr>
                <w:rFonts w:eastAsia="Verdana"/>
                <w:sz w:val="24"/>
                <w:szCs w:val="24"/>
              </w:rPr>
              <w:t xml:space="preserve">a licence to use Pearson’s </w:t>
            </w:r>
            <w:r w:rsidR="00477978" w:rsidRPr="00B27719">
              <w:rPr>
                <w:rFonts w:eastAsia="Verdana"/>
                <w:i/>
                <w:sz w:val="24"/>
                <w:szCs w:val="24"/>
              </w:rPr>
              <w:t>Higher National Certificate</w:t>
            </w:r>
            <w:r w:rsidR="00477978" w:rsidRPr="00B27719">
              <w:rPr>
                <w:rFonts w:eastAsia="Verdana"/>
                <w:sz w:val="24"/>
                <w:szCs w:val="24"/>
              </w:rPr>
              <w:t xml:space="preserve"> and/or </w:t>
            </w:r>
            <w:r w:rsidR="00477978" w:rsidRPr="00B27719">
              <w:rPr>
                <w:rFonts w:eastAsia="Verdana"/>
                <w:i/>
                <w:sz w:val="24"/>
                <w:szCs w:val="24"/>
              </w:rPr>
              <w:t>Higher National Diploma</w:t>
            </w:r>
            <w:r w:rsidR="00477978" w:rsidRPr="00B27719">
              <w:rPr>
                <w:rFonts w:eastAsia="Verdana"/>
                <w:sz w:val="24"/>
                <w:szCs w:val="24"/>
              </w:rPr>
              <w:t xml:space="preserve"> trade mark</w:t>
            </w:r>
            <w:r w:rsidRPr="00B27719">
              <w:rPr>
                <w:rFonts w:eastAsia="Verdana"/>
                <w:sz w:val="24"/>
                <w:szCs w:val="24"/>
              </w:rPr>
              <w:t xml:space="preserve"> on certain of Institution’s own qualifications under a separate licence agreement (the “Trade</w:t>
            </w:r>
            <w:r w:rsidR="008C0172" w:rsidRPr="00B27719">
              <w:rPr>
                <w:rFonts w:eastAsia="Verdana"/>
                <w:sz w:val="24"/>
                <w:szCs w:val="24"/>
              </w:rPr>
              <w:t>m</w:t>
            </w:r>
            <w:r w:rsidRPr="00B27719">
              <w:rPr>
                <w:rFonts w:eastAsia="Verdana"/>
                <w:sz w:val="24"/>
                <w:szCs w:val="24"/>
              </w:rPr>
              <w:t>ark Licence Agreement”)</w:t>
            </w:r>
            <w:r w:rsidR="00477978" w:rsidRPr="00B27719">
              <w:rPr>
                <w:rFonts w:eastAsia="Verdana"/>
                <w:sz w:val="24"/>
                <w:szCs w:val="24"/>
              </w:rPr>
              <w:t xml:space="preserve">. </w:t>
            </w:r>
          </w:p>
        </w:tc>
      </w:tr>
      <w:tr w:rsidR="0071099A" w:rsidRPr="00B27719" w14:paraId="5F029C42" w14:textId="77777777">
        <w:trPr>
          <w:trHeight w:val="540"/>
          <w:jc w:val="center"/>
        </w:trPr>
        <w:tc>
          <w:tcPr>
            <w:tcW w:w="1155" w:type="dxa"/>
            <w:tcMar>
              <w:top w:w="100" w:type="dxa"/>
              <w:left w:w="100" w:type="dxa"/>
              <w:bottom w:w="100" w:type="dxa"/>
              <w:right w:w="100" w:type="dxa"/>
            </w:tcMar>
          </w:tcPr>
          <w:p w14:paraId="24203047" w14:textId="02316627" w:rsidR="0071099A" w:rsidRPr="00B27719" w:rsidRDefault="0071099A">
            <w:pPr>
              <w:spacing w:line="240" w:lineRule="auto"/>
              <w:rPr>
                <w:rFonts w:eastAsia="Verdana"/>
                <w:sz w:val="24"/>
                <w:szCs w:val="24"/>
              </w:rPr>
            </w:pPr>
            <w:r w:rsidRPr="00B27719">
              <w:rPr>
                <w:rFonts w:eastAsia="Verdana"/>
                <w:sz w:val="24"/>
                <w:szCs w:val="24"/>
              </w:rPr>
              <w:t>D</w:t>
            </w:r>
          </w:p>
        </w:tc>
        <w:tc>
          <w:tcPr>
            <w:tcW w:w="8175" w:type="dxa"/>
            <w:tcMar>
              <w:top w:w="100" w:type="dxa"/>
              <w:left w:w="100" w:type="dxa"/>
              <w:bottom w:w="100" w:type="dxa"/>
              <w:right w:w="100" w:type="dxa"/>
            </w:tcMar>
          </w:tcPr>
          <w:p w14:paraId="01E8E76B" w14:textId="6F856D45" w:rsidR="0071099A" w:rsidRPr="00B27719" w:rsidRDefault="0071099A" w:rsidP="003E6C8E">
            <w:pPr>
              <w:spacing w:line="240" w:lineRule="auto"/>
              <w:rPr>
                <w:rFonts w:eastAsia="Verdana"/>
                <w:sz w:val="24"/>
                <w:szCs w:val="24"/>
              </w:rPr>
            </w:pPr>
            <w:r w:rsidRPr="00B27719">
              <w:rPr>
                <w:rFonts w:eastAsia="Verdana"/>
                <w:sz w:val="24"/>
                <w:szCs w:val="24"/>
              </w:rPr>
              <w:t>Institution now wishes to license and use</w:t>
            </w:r>
            <w:r w:rsidR="00C00B56" w:rsidRPr="00B27719">
              <w:rPr>
                <w:rFonts w:eastAsia="Verdana"/>
                <w:sz w:val="24"/>
                <w:szCs w:val="24"/>
              </w:rPr>
              <w:t xml:space="preserve"> the title and </w:t>
            </w:r>
            <w:r w:rsidR="003E6C8E" w:rsidRPr="00B27719">
              <w:rPr>
                <w:rFonts w:eastAsia="Verdana"/>
                <w:sz w:val="24"/>
                <w:szCs w:val="24"/>
              </w:rPr>
              <w:t xml:space="preserve">intellectual property </w:t>
            </w:r>
            <w:r w:rsidRPr="00B27719">
              <w:rPr>
                <w:rFonts w:eastAsia="Verdana"/>
                <w:sz w:val="24"/>
                <w:szCs w:val="24"/>
              </w:rPr>
              <w:t xml:space="preserve">from certain of Pearson’s </w:t>
            </w:r>
            <w:r w:rsidR="008C0172" w:rsidRPr="00B27719">
              <w:rPr>
                <w:rFonts w:eastAsia="Verdana"/>
                <w:sz w:val="24"/>
                <w:szCs w:val="24"/>
              </w:rPr>
              <w:t xml:space="preserve">BETC </w:t>
            </w:r>
            <w:r w:rsidRPr="00B27719">
              <w:rPr>
                <w:rFonts w:eastAsia="Verdana"/>
                <w:sz w:val="24"/>
                <w:szCs w:val="24"/>
              </w:rPr>
              <w:t xml:space="preserve">Higher National qualifications in order to provide its own </w:t>
            </w:r>
            <w:r w:rsidR="008C0172" w:rsidRPr="00B27719">
              <w:rPr>
                <w:rFonts w:eastAsia="Verdana"/>
                <w:sz w:val="24"/>
                <w:szCs w:val="24"/>
              </w:rPr>
              <w:t xml:space="preserve">Higher National </w:t>
            </w:r>
            <w:r w:rsidRPr="00B27719">
              <w:rPr>
                <w:rFonts w:eastAsia="Verdana"/>
                <w:sz w:val="24"/>
                <w:szCs w:val="24"/>
              </w:rPr>
              <w:t xml:space="preserve">qualifications based on such </w:t>
            </w:r>
            <w:r w:rsidR="003E6C8E" w:rsidRPr="00B27719">
              <w:rPr>
                <w:rFonts w:eastAsia="Verdana"/>
                <w:sz w:val="24"/>
                <w:szCs w:val="24"/>
              </w:rPr>
              <w:t>intellectual property</w:t>
            </w:r>
            <w:r w:rsidRPr="00B27719">
              <w:rPr>
                <w:rFonts w:eastAsia="Verdana"/>
                <w:sz w:val="24"/>
                <w:szCs w:val="24"/>
              </w:rPr>
              <w:t>.</w:t>
            </w:r>
          </w:p>
        </w:tc>
      </w:tr>
      <w:tr w:rsidR="000F7F2B" w:rsidRPr="00B27719" w14:paraId="51A39310" w14:textId="77777777">
        <w:trPr>
          <w:trHeight w:val="540"/>
          <w:jc w:val="center"/>
        </w:trPr>
        <w:tc>
          <w:tcPr>
            <w:tcW w:w="1155" w:type="dxa"/>
            <w:tcMar>
              <w:top w:w="100" w:type="dxa"/>
              <w:left w:w="100" w:type="dxa"/>
              <w:bottom w:w="100" w:type="dxa"/>
              <w:right w:w="100" w:type="dxa"/>
            </w:tcMar>
          </w:tcPr>
          <w:p w14:paraId="2D6D3655" w14:textId="77777777" w:rsidR="000F7F2B" w:rsidRPr="00B27719" w:rsidRDefault="000F7F2B">
            <w:pPr>
              <w:spacing w:line="240" w:lineRule="auto"/>
              <w:contextualSpacing w:val="0"/>
              <w:rPr>
                <w:sz w:val="24"/>
                <w:szCs w:val="24"/>
              </w:rPr>
            </w:pPr>
          </w:p>
        </w:tc>
        <w:tc>
          <w:tcPr>
            <w:tcW w:w="8175" w:type="dxa"/>
            <w:tcMar>
              <w:top w:w="100" w:type="dxa"/>
              <w:left w:w="100" w:type="dxa"/>
              <w:bottom w:w="100" w:type="dxa"/>
              <w:right w:w="100" w:type="dxa"/>
            </w:tcMar>
          </w:tcPr>
          <w:p w14:paraId="51CA1C11" w14:textId="77777777" w:rsidR="000F7F2B" w:rsidRPr="00B27719" w:rsidRDefault="00477978">
            <w:pPr>
              <w:spacing w:line="240" w:lineRule="auto"/>
              <w:contextualSpacing w:val="0"/>
              <w:rPr>
                <w:sz w:val="24"/>
                <w:szCs w:val="24"/>
              </w:rPr>
            </w:pPr>
            <w:r w:rsidRPr="00B27719">
              <w:rPr>
                <w:rFonts w:eastAsia="Verdana"/>
                <w:b/>
                <w:sz w:val="24"/>
                <w:szCs w:val="24"/>
              </w:rPr>
              <w:t>AGREED TERMS</w:t>
            </w:r>
            <w:r w:rsidRPr="00B27719">
              <w:rPr>
                <w:rFonts w:eastAsia="Verdana"/>
                <w:sz w:val="24"/>
                <w:szCs w:val="24"/>
              </w:rPr>
              <w:t>:</w:t>
            </w:r>
          </w:p>
        </w:tc>
      </w:tr>
      <w:tr w:rsidR="000F7F2B" w:rsidRPr="00B27719" w14:paraId="15E9E722" w14:textId="77777777">
        <w:trPr>
          <w:trHeight w:val="540"/>
          <w:jc w:val="center"/>
        </w:trPr>
        <w:tc>
          <w:tcPr>
            <w:tcW w:w="1155" w:type="dxa"/>
            <w:tcMar>
              <w:top w:w="100" w:type="dxa"/>
              <w:left w:w="100" w:type="dxa"/>
              <w:bottom w:w="100" w:type="dxa"/>
              <w:right w:w="100" w:type="dxa"/>
            </w:tcMar>
          </w:tcPr>
          <w:p w14:paraId="0B4DB351" w14:textId="77777777" w:rsidR="000F7F2B" w:rsidRPr="00B27719" w:rsidRDefault="00477978">
            <w:pPr>
              <w:spacing w:line="240" w:lineRule="auto"/>
              <w:contextualSpacing w:val="0"/>
              <w:rPr>
                <w:sz w:val="24"/>
                <w:szCs w:val="24"/>
              </w:rPr>
            </w:pPr>
            <w:r w:rsidRPr="00B27719">
              <w:rPr>
                <w:rFonts w:eastAsia="Verdana"/>
                <w:b/>
                <w:sz w:val="24"/>
                <w:szCs w:val="24"/>
              </w:rPr>
              <w:t>1</w:t>
            </w:r>
          </w:p>
          <w:p w14:paraId="3EE4F07C" w14:textId="77777777" w:rsidR="000F7F2B" w:rsidRPr="00B27719" w:rsidRDefault="000F7F2B">
            <w:pPr>
              <w:widowControl w:val="0"/>
              <w:spacing w:line="240" w:lineRule="auto"/>
              <w:contextualSpacing w:val="0"/>
              <w:rPr>
                <w:sz w:val="24"/>
                <w:szCs w:val="24"/>
              </w:rPr>
            </w:pPr>
          </w:p>
        </w:tc>
        <w:tc>
          <w:tcPr>
            <w:tcW w:w="8175" w:type="dxa"/>
            <w:tcMar>
              <w:top w:w="100" w:type="dxa"/>
              <w:left w:w="100" w:type="dxa"/>
              <w:bottom w:w="100" w:type="dxa"/>
              <w:right w:w="100" w:type="dxa"/>
            </w:tcMar>
          </w:tcPr>
          <w:p w14:paraId="6FEA9884" w14:textId="77777777" w:rsidR="000F7F2B" w:rsidRPr="00B27719" w:rsidRDefault="00477978">
            <w:pPr>
              <w:spacing w:line="240" w:lineRule="auto"/>
              <w:contextualSpacing w:val="0"/>
              <w:rPr>
                <w:sz w:val="24"/>
                <w:szCs w:val="24"/>
              </w:rPr>
            </w:pPr>
            <w:r w:rsidRPr="00B27719">
              <w:rPr>
                <w:rFonts w:eastAsia="Verdana"/>
                <w:b/>
                <w:sz w:val="24"/>
                <w:szCs w:val="24"/>
              </w:rPr>
              <w:t>DEFINITIONS</w:t>
            </w:r>
            <w:r w:rsidRPr="00B27719">
              <w:rPr>
                <w:rFonts w:eastAsia="Verdana"/>
                <w:sz w:val="24"/>
                <w:szCs w:val="24"/>
              </w:rPr>
              <w:t>:</w:t>
            </w:r>
          </w:p>
        </w:tc>
      </w:tr>
      <w:tr w:rsidR="000F7F2B" w:rsidRPr="00B27719" w14:paraId="60E1DA50" w14:textId="77777777">
        <w:trPr>
          <w:jc w:val="center"/>
        </w:trPr>
        <w:tc>
          <w:tcPr>
            <w:tcW w:w="1155" w:type="dxa"/>
            <w:tcMar>
              <w:top w:w="100" w:type="dxa"/>
              <w:left w:w="100" w:type="dxa"/>
              <w:bottom w:w="100" w:type="dxa"/>
              <w:right w:w="100" w:type="dxa"/>
            </w:tcMar>
          </w:tcPr>
          <w:p w14:paraId="4954BB79" w14:textId="77777777" w:rsidR="000F7F2B" w:rsidRPr="00B27719" w:rsidRDefault="00477978">
            <w:pPr>
              <w:spacing w:line="240" w:lineRule="auto"/>
              <w:contextualSpacing w:val="0"/>
              <w:rPr>
                <w:sz w:val="24"/>
                <w:szCs w:val="24"/>
              </w:rPr>
            </w:pPr>
            <w:r w:rsidRPr="00B27719">
              <w:rPr>
                <w:rFonts w:eastAsia="Verdana"/>
                <w:sz w:val="24"/>
                <w:szCs w:val="24"/>
              </w:rPr>
              <w:t>1.1</w:t>
            </w:r>
          </w:p>
        </w:tc>
        <w:tc>
          <w:tcPr>
            <w:tcW w:w="8175" w:type="dxa"/>
            <w:tcMar>
              <w:top w:w="100" w:type="dxa"/>
              <w:left w:w="100" w:type="dxa"/>
              <w:bottom w:w="100" w:type="dxa"/>
              <w:right w:w="100" w:type="dxa"/>
            </w:tcMar>
          </w:tcPr>
          <w:p w14:paraId="358C428D" w14:textId="6CBDDC69" w:rsidR="000F7F2B" w:rsidRPr="00B27719" w:rsidRDefault="00477978" w:rsidP="00D22681">
            <w:pPr>
              <w:spacing w:line="240" w:lineRule="auto"/>
              <w:contextualSpacing w:val="0"/>
              <w:rPr>
                <w:sz w:val="24"/>
                <w:szCs w:val="24"/>
              </w:rPr>
            </w:pPr>
            <w:r w:rsidRPr="00B27719">
              <w:rPr>
                <w:rFonts w:eastAsia="Verdana"/>
                <w:sz w:val="24"/>
                <w:szCs w:val="24"/>
              </w:rPr>
              <w:t>In this Agreement, unless the context otherwise requires:</w:t>
            </w:r>
          </w:p>
        </w:tc>
      </w:tr>
      <w:tr w:rsidR="000F7F2B" w:rsidRPr="00B27719" w14:paraId="0E1A7A08" w14:textId="77777777">
        <w:trPr>
          <w:jc w:val="center"/>
        </w:trPr>
        <w:tc>
          <w:tcPr>
            <w:tcW w:w="11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8106A7" w14:textId="77777777" w:rsidR="000F7F2B" w:rsidRPr="00B27719" w:rsidRDefault="00477978">
            <w:pPr>
              <w:widowControl w:val="0"/>
              <w:spacing w:line="240" w:lineRule="auto"/>
              <w:contextualSpacing w:val="0"/>
              <w:rPr>
                <w:sz w:val="24"/>
                <w:szCs w:val="24"/>
              </w:rPr>
            </w:pPr>
            <w:r w:rsidRPr="00B27719">
              <w:rPr>
                <w:rFonts w:eastAsia="Verdana"/>
                <w:sz w:val="24"/>
                <w:szCs w:val="24"/>
              </w:rPr>
              <w:t>1.1.1</w:t>
            </w:r>
          </w:p>
        </w:tc>
        <w:tc>
          <w:tcPr>
            <w:tcW w:w="817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4CFAC86" w14:textId="4ABD9B29" w:rsidR="000F7F2B" w:rsidRPr="00B27719" w:rsidRDefault="00477978">
            <w:pPr>
              <w:widowControl w:val="0"/>
              <w:spacing w:line="240" w:lineRule="auto"/>
              <w:contextualSpacing w:val="0"/>
              <w:rPr>
                <w:sz w:val="24"/>
                <w:szCs w:val="24"/>
              </w:rPr>
            </w:pPr>
            <w:r w:rsidRPr="00B27719">
              <w:rPr>
                <w:rFonts w:eastAsia="Verdana"/>
                <w:sz w:val="24"/>
                <w:szCs w:val="24"/>
              </w:rPr>
              <w:t xml:space="preserve">“Agreement” means this </w:t>
            </w:r>
            <w:r w:rsidR="003E6C8E" w:rsidRPr="00B27719">
              <w:rPr>
                <w:rFonts w:eastAsia="Verdana"/>
                <w:sz w:val="24"/>
                <w:szCs w:val="24"/>
              </w:rPr>
              <w:t>IP</w:t>
            </w:r>
            <w:r w:rsidR="0071099A" w:rsidRPr="00B27719">
              <w:rPr>
                <w:rFonts w:eastAsia="Verdana"/>
                <w:sz w:val="24"/>
                <w:szCs w:val="24"/>
              </w:rPr>
              <w:t xml:space="preserve"> </w:t>
            </w:r>
            <w:r w:rsidRPr="00B27719">
              <w:rPr>
                <w:rFonts w:eastAsia="Verdana"/>
                <w:sz w:val="24"/>
                <w:szCs w:val="24"/>
              </w:rPr>
              <w:t>Licence Agreement;</w:t>
            </w:r>
          </w:p>
        </w:tc>
      </w:tr>
      <w:tr w:rsidR="000F7F2B" w:rsidRPr="00B27719" w14:paraId="723D122B" w14:textId="77777777">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C84738" w14:textId="77777777" w:rsidR="000F7F2B" w:rsidRPr="00B27719" w:rsidRDefault="00477978">
            <w:pPr>
              <w:spacing w:line="240" w:lineRule="auto"/>
              <w:contextualSpacing w:val="0"/>
              <w:rPr>
                <w:sz w:val="24"/>
                <w:szCs w:val="24"/>
              </w:rPr>
            </w:pPr>
            <w:r w:rsidRPr="00B27719">
              <w:rPr>
                <w:rFonts w:eastAsia="Verdana"/>
                <w:sz w:val="24"/>
                <w:szCs w:val="24"/>
              </w:rPr>
              <w:t>1.1.2</w:t>
            </w:r>
          </w:p>
        </w:tc>
        <w:tc>
          <w:tcPr>
            <w:tcW w:w="8175" w:type="dxa"/>
            <w:tcBorders>
              <w:bottom w:val="single" w:sz="8" w:space="0" w:color="000000"/>
              <w:right w:val="single" w:sz="8" w:space="0" w:color="000000"/>
            </w:tcBorders>
            <w:tcMar>
              <w:top w:w="100" w:type="dxa"/>
              <w:left w:w="100" w:type="dxa"/>
              <w:bottom w:w="100" w:type="dxa"/>
              <w:right w:w="100" w:type="dxa"/>
            </w:tcMar>
          </w:tcPr>
          <w:p w14:paraId="2660FFAB" w14:textId="66F646D7" w:rsidR="000F7F2B" w:rsidRPr="00B27719" w:rsidRDefault="00477978" w:rsidP="008C0172">
            <w:pPr>
              <w:spacing w:line="240" w:lineRule="auto"/>
              <w:contextualSpacing w:val="0"/>
              <w:rPr>
                <w:sz w:val="24"/>
                <w:szCs w:val="24"/>
              </w:rPr>
            </w:pPr>
            <w:r w:rsidRPr="00B27719">
              <w:rPr>
                <w:rFonts w:eastAsia="Verdana"/>
                <w:sz w:val="24"/>
                <w:szCs w:val="24"/>
              </w:rPr>
              <w:t xml:space="preserve">“External Examiner” means </w:t>
            </w:r>
            <w:r w:rsidRPr="00B27719">
              <w:rPr>
                <w:rFonts w:eastAsia="Verdana"/>
                <w:sz w:val="24"/>
                <w:szCs w:val="24"/>
                <w:highlight w:val="white"/>
              </w:rPr>
              <w:t>an examiner who is external to and independent of Institution and who has relevant subject expertise and appropriate qualification.</w:t>
            </w:r>
          </w:p>
        </w:tc>
      </w:tr>
      <w:tr w:rsidR="000F7F2B" w:rsidRPr="00B27719" w14:paraId="5BD99EF2" w14:textId="77777777">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EEEDAA" w14:textId="77777777" w:rsidR="000F7F2B" w:rsidRPr="00B27719" w:rsidRDefault="00477978">
            <w:pPr>
              <w:spacing w:line="240" w:lineRule="auto"/>
              <w:contextualSpacing w:val="0"/>
              <w:rPr>
                <w:sz w:val="24"/>
                <w:szCs w:val="24"/>
              </w:rPr>
            </w:pPr>
            <w:r w:rsidRPr="00B27719">
              <w:rPr>
                <w:rFonts w:eastAsia="Verdana"/>
                <w:sz w:val="24"/>
                <w:szCs w:val="24"/>
              </w:rPr>
              <w:t>1.1.3</w:t>
            </w:r>
          </w:p>
        </w:tc>
        <w:tc>
          <w:tcPr>
            <w:tcW w:w="8175" w:type="dxa"/>
            <w:tcBorders>
              <w:bottom w:val="single" w:sz="8" w:space="0" w:color="000000"/>
              <w:right w:val="single" w:sz="8" w:space="0" w:color="000000"/>
            </w:tcBorders>
            <w:tcMar>
              <w:top w:w="100" w:type="dxa"/>
              <w:left w:w="100" w:type="dxa"/>
              <w:bottom w:w="100" w:type="dxa"/>
              <w:right w:w="100" w:type="dxa"/>
            </w:tcMar>
          </w:tcPr>
          <w:p w14:paraId="082057EC" w14:textId="5641451A" w:rsidR="000F7F2B" w:rsidRPr="00B27719" w:rsidRDefault="00477978" w:rsidP="00476A7A">
            <w:pPr>
              <w:spacing w:line="240" w:lineRule="auto"/>
              <w:contextualSpacing w:val="0"/>
              <w:rPr>
                <w:sz w:val="24"/>
                <w:szCs w:val="24"/>
              </w:rPr>
            </w:pPr>
            <w:r w:rsidRPr="00B27719">
              <w:rPr>
                <w:rFonts w:eastAsia="Verdana"/>
                <w:sz w:val="24"/>
                <w:szCs w:val="24"/>
              </w:rPr>
              <w:t>“Higher National Certificate</w:t>
            </w:r>
            <w:r w:rsidR="0071099A" w:rsidRPr="00B27719">
              <w:rPr>
                <w:rFonts w:eastAsia="Verdana"/>
                <w:sz w:val="24"/>
                <w:szCs w:val="24"/>
              </w:rPr>
              <w:t xml:space="preserve"> Qualification</w:t>
            </w:r>
            <w:r w:rsidRPr="00B27719">
              <w:rPr>
                <w:rFonts w:eastAsia="Verdana"/>
                <w:sz w:val="24"/>
                <w:szCs w:val="24"/>
              </w:rPr>
              <w:t xml:space="preserve">” </w:t>
            </w:r>
            <w:r w:rsidR="00AC7595" w:rsidRPr="00B27719">
              <w:rPr>
                <w:rFonts w:eastAsia="Verdana"/>
                <w:sz w:val="24"/>
                <w:szCs w:val="24"/>
              </w:rPr>
              <w:t>or “</w:t>
            </w:r>
            <w:r w:rsidRPr="00B27719">
              <w:rPr>
                <w:rFonts w:eastAsia="Verdana"/>
                <w:sz w:val="24"/>
                <w:szCs w:val="24"/>
              </w:rPr>
              <w:t>HNC</w:t>
            </w:r>
            <w:r w:rsidR="00AC7595" w:rsidRPr="00B27719">
              <w:rPr>
                <w:rFonts w:eastAsia="Verdana"/>
                <w:sz w:val="24"/>
                <w:szCs w:val="24"/>
              </w:rPr>
              <w:t>”</w:t>
            </w:r>
            <w:r w:rsidRPr="00B27719">
              <w:rPr>
                <w:rFonts w:eastAsia="Verdana"/>
                <w:sz w:val="24"/>
                <w:szCs w:val="24"/>
              </w:rPr>
              <w:t xml:space="preserve"> means a qualification as set out in Schedule </w:t>
            </w:r>
            <w:r w:rsidR="008C0172" w:rsidRPr="00B27719">
              <w:rPr>
                <w:rFonts w:eastAsia="Verdana"/>
                <w:sz w:val="24"/>
                <w:szCs w:val="24"/>
              </w:rPr>
              <w:t>1</w:t>
            </w:r>
            <w:r w:rsidRPr="00B27719">
              <w:rPr>
                <w:rFonts w:eastAsia="Verdana"/>
                <w:sz w:val="24"/>
                <w:szCs w:val="24"/>
              </w:rPr>
              <w:t xml:space="preserve"> and or Schedule </w:t>
            </w:r>
            <w:r w:rsidR="008C0172" w:rsidRPr="00B27719">
              <w:rPr>
                <w:rFonts w:eastAsia="Verdana"/>
                <w:sz w:val="24"/>
                <w:szCs w:val="24"/>
              </w:rPr>
              <w:t>2</w:t>
            </w:r>
            <w:r w:rsidRPr="00B27719">
              <w:rPr>
                <w:rFonts w:eastAsia="Verdana"/>
                <w:sz w:val="24"/>
                <w:szCs w:val="24"/>
              </w:rPr>
              <w:t xml:space="preserve"> validated by Institution of at </w:t>
            </w:r>
            <w:r w:rsidRPr="00B27719">
              <w:rPr>
                <w:rFonts w:eastAsia="Verdana"/>
                <w:sz w:val="24"/>
                <w:szCs w:val="24"/>
              </w:rPr>
              <w:lastRenderedPageBreak/>
              <w:t>least 120 credits (one credit equalling ten notional learning hours) at level 4</w:t>
            </w:r>
            <w:r w:rsidR="008C0172" w:rsidRPr="00B27719">
              <w:rPr>
                <w:rFonts w:eastAsia="Verdana"/>
                <w:sz w:val="24"/>
                <w:szCs w:val="24"/>
              </w:rPr>
              <w:t>,</w:t>
            </w:r>
            <w:r w:rsidR="00AC7595" w:rsidRPr="00B27719">
              <w:rPr>
                <w:rFonts w:eastAsia="Verdana"/>
                <w:sz w:val="24"/>
                <w:szCs w:val="24"/>
              </w:rPr>
              <w:t xml:space="preserve"> which </w:t>
            </w:r>
            <w:r w:rsidR="00476A7A" w:rsidRPr="00B27719">
              <w:rPr>
                <w:rFonts w:eastAsia="Verdana"/>
                <w:sz w:val="24"/>
                <w:szCs w:val="24"/>
              </w:rPr>
              <w:t>uses</w:t>
            </w:r>
            <w:r w:rsidR="0071099A" w:rsidRPr="00B27719">
              <w:rPr>
                <w:rFonts w:eastAsia="Verdana"/>
                <w:sz w:val="24"/>
                <w:szCs w:val="24"/>
              </w:rPr>
              <w:t xml:space="preserve"> the Pearson </w:t>
            </w:r>
            <w:r w:rsidR="003E6C8E" w:rsidRPr="00B27719">
              <w:rPr>
                <w:rFonts w:eastAsia="Verdana"/>
                <w:sz w:val="24"/>
                <w:szCs w:val="24"/>
              </w:rPr>
              <w:t>IP</w:t>
            </w:r>
            <w:r w:rsidR="0071099A" w:rsidRPr="00B27719">
              <w:rPr>
                <w:rFonts w:eastAsia="Verdana"/>
                <w:sz w:val="24"/>
                <w:szCs w:val="24"/>
              </w:rPr>
              <w:t xml:space="preserve"> and </w:t>
            </w:r>
            <w:r w:rsidR="008C0172" w:rsidRPr="00B27719">
              <w:rPr>
                <w:rFonts w:eastAsia="Verdana"/>
                <w:sz w:val="24"/>
                <w:szCs w:val="24"/>
              </w:rPr>
              <w:t xml:space="preserve">is </w:t>
            </w:r>
            <w:r w:rsidR="00AC7595" w:rsidRPr="00B27719">
              <w:rPr>
                <w:rFonts w:eastAsia="Verdana"/>
                <w:sz w:val="24"/>
                <w:szCs w:val="24"/>
              </w:rPr>
              <w:t xml:space="preserve">offered under the </w:t>
            </w:r>
            <w:r w:rsidR="008C0172" w:rsidRPr="00B27719">
              <w:rPr>
                <w:rFonts w:eastAsia="Verdana"/>
                <w:sz w:val="24"/>
                <w:szCs w:val="24"/>
              </w:rPr>
              <w:t>Pearson Qualification title and</w:t>
            </w:r>
            <w:r w:rsidR="008C0172" w:rsidRPr="00B27719">
              <w:rPr>
                <w:rFonts w:eastAsia="Verdana"/>
                <w:i/>
                <w:sz w:val="24"/>
                <w:szCs w:val="24"/>
              </w:rPr>
              <w:t xml:space="preserve"> </w:t>
            </w:r>
            <w:r w:rsidR="00AC7595" w:rsidRPr="00B27719">
              <w:rPr>
                <w:rFonts w:eastAsia="Verdana"/>
                <w:i/>
                <w:sz w:val="24"/>
                <w:szCs w:val="24"/>
              </w:rPr>
              <w:t>Higher National Certificate</w:t>
            </w:r>
            <w:r w:rsidR="00AC7595" w:rsidRPr="00B27719">
              <w:rPr>
                <w:rFonts w:eastAsia="Verdana"/>
                <w:sz w:val="24"/>
                <w:szCs w:val="24"/>
              </w:rPr>
              <w:t xml:space="preserve"> trademark</w:t>
            </w:r>
            <w:r w:rsidRPr="00B27719">
              <w:rPr>
                <w:rFonts w:eastAsia="Verdana"/>
                <w:sz w:val="24"/>
                <w:szCs w:val="24"/>
              </w:rPr>
              <w:t xml:space="preserve">. The HNC is designed to provide an assessed certification by </w:t>
            </w:r>
            <w:r w:rsidR="0071099A" w:rsidRPr="00B27719">
              <w:rPr>
                <w:rFonts w:eastAsia="Verdana"/>
                <w:sz w:val="24"/>
                <w:szCs w:val="24"/>
              </w:rPr>
              <w:t>I</w:t>
            </w:r>
            <w:r w:rsidRPr="00B27719">
              <w:rPr>
                <w:rFonts w:eastAsia="Verdana"/>
                <w:sz w:val="24"/>
                <w:szCs w:val="24"/>
              </w:rPr>
              <w:t xml:space="preserve">nstitution after one year of full time study </w:t>
            </w:r>
            <w:r w:rsidR="0062290C" w:rsidRPr="00B27719">
              <w:rPr>
                <w:rFonts w:eastAsia="Verdana"/>
                <w:sz w:val="24"/>
                <w:szCs w:val="24"/>
              </w:rPr>
              <w:t xml:space="preserve">or equivalent period of part time study </w:t>
            </w:r>
            <w:r w:rsidRPr="00B27719">
              <w:rPr>
                <w:rFonts w:eastAsia="Verdana"/>
                <w:sz w:val="24"/>
                <w:szCs w:val="24"/>
              </w:rPr>
              <w:t xml:space="preserve">of an undergraduate </w:t>
            </w:r>
            <w:r w:rsidR="003B151B" w:rsidRPr="00B27719">
              <w:rPr>
                <w:rFonts w:eastAsia="Verdana"/>
                <w:sz w:val="24"/>
                <w:szCs w:val="24"/>
              </w:rPr>
              <w:t>P</w:t>
            </w:r>
            <w:r w:rsidRPr="00B27719">
              <w:rPr>
                <w:rFonts w:eastAsia="Verdana"/>
                <w:sz w:val="24"/>
                <w:szCs w:val="24"/>
              </w:rPr>
              <w:t>rogramme which will allow students to progress onto employment or onto further learning. It is not regulated by Ofqual.</w:t>
            </w:r>
          </w:p>
        </w:tc>
      </w:tr>
      <w:tr w:rsidR="000F7F2B" w:rsidRPr="00B27719" w14:paraId="60B654C3" w14:textId="77777777">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B39C2E" w14:textId="77777777" w:rsidR="000F7F2B" w:rsidRPr="00B27719" w:rsidRDefault="00477978">
            <w:pPr>
              <w:spacing w:line="240" w:lineRule="auto"/>
              <w:contextualSpacing w:val="0"/>
              <w:rPr>
                <w:sz w:val="24"/>
                <w:szCs w:val="24"/>
              </w:rPr>
            </w:pPr>
            <w:r w:rsidRPr="00B27719">
              <w:rPr>
                <w:rFonts w:eastAsia="Verdana"/>
                <w:sz w:val="24"/>
                <w:szCs w:val="24"/>
              </w:rPr>
              <w:lastRenderedPageBreak/>
              <w:t>1.1.4</w:t>
            </w:r>
          </w:p>
        </w:tc>
        <w:tc>
          <w:tcPr>
            <w:tcW w:w="8175" w:type="dxa"/>
            <w:tcBorders>
              <w:bottom w:val="single" w:sz="8" w:space="0" w:color="000000"/>
              <w:right w:val="single" w:sz="8" w:space="0" w:color="000000"/>
            </w:tcBorders>
            <w:tcMar>
              <w:top w:w="100" w:type="dxa"/>
              <w:left w:w="100" w:type="dxa"/>
              <w:bottom w:w="100" w:type="dxa"/>
              <w:right w:w="100" w:type="dxa"/>
            </w:tcMar>
          </w:tcPr>
          <w:p w14:paraId="737B6A9F" w14:textId="4A561EDE" w:rsidR="000F7F2B" w:rsidRPr="00B27719" w:rsidRDefault="00477978" w:rsidP="00476A7A">
            <w:pPr>
              <w:widowControl w:val="0"/>
              <w:spacing w:line="240" w:lineRule="auto"/>
              <w:contextualSpacing w:val="0"/>
              <w:rPr>
                <w:sz w:val="24"/>
                <w:szCs w:val="24"/>
              </w:rPr>
            </w:pPr>
            <w:r w:rsidRPr="00B27719">
              <w:rPr>
                <w:rFonts w:eastAsia="Verdana"/>
                <w:sz w:val="24"/>
                <w:szCs w:val="24"/>
              </w:rPr>
              <w:t>“Higher National Diploma</w:t>
            </w:r>
            <w:r w:rsidR="0071099A" w:rsidRPr="00B27719">
              <w:rPr>
                <w:rFonts w:eastAsia="Verdana"/>
                <w:sz w:val="24"/>
                <w:szCs w:val="24"/>
              </w:rPr>
              <w:t xml:space="preserve"> Qualification</w:t>
            </w:r>
            <w:r w:rsidRPr="00B27719">
              <w:rPr>
                <w:rFonts w:eastAsia="Verdana"/>
                <w:sz w:val="24"/>
                <w:szCs w:val="24"/>
              </w:rPr>
              <w:t xml:space="preserve">” </w:t>
            </w:r>
            <w:r w:rsidR="00AC7595" w:rsidRPr="00B27719">
              <w:rPr>
                <w:rFonts w:eastAsia="Verdana"/>
                <w:sz w:val="24"/>
                <w:szCs w:val="24"/>
              </w:rPr>
              <w:t>or “</w:t>
            </w:r>
            <w:r w:rsidRPr="00B27719">
              <w:rPr>
                <w:rFonts w:eastAsia="Verdana"/>
                <w:sz w:val="24"/>
                <w:szCs w:val="24"/>
              </w:rPr>
              <w:t>HND</w:t>
            </w:r>
            <w:r w:rsidR="00AC7595" w:rsidRPr="00B27719">
              <w:rPr>
                <w:rFonts w:eastAsia="Verdana"/>
                <w:sz w:val="24"/>
                <w:szCs w:val="24"/>
              </w:rPr>
              <w:t>”</w:t>
            </w:r>
            <w:r w:rsidRPr="00B27719">
              <w:rPr>
                <w:rFonts w:eastAsia="Verdana"/>
                <w:sz w:val="24"/>
                <w:szCs w:val="24"/>
              </w:rPr>
              <w:t xml:space="preserve"> means a qualification as set out in Schedule </w:t>
            </w:r>
            <w:r w:rsidR="008C0172" w:rsidRPr="00B27719">
              <w:rPr>
                <w:rFonts w:eastAsia="Verdana"/>
                <w:sz w:val="24"/>
                <w:szCs w:val="24"/>
              </w:rPr>
              <w:t>1</w:t>
            </w:r>
            <w:r w:rsidRPr="00B27719">
              <w:rPr>
                <w:rFonts w:eastAsia="Verdana"/>
                <w:sz w:val="24"/>
                <w:szCs w:val="24"/>
              </w:rPr>
              <w:t xml:space="preserve"> and/or Schedule </w:t>
            </w:r>
            <w:r w:rsidR="008C0172" w:rsidRPr="00B27719">
              <w:rPr>
                <w:rFonts w:eastAsia="Verdana"/>
                <w:sz w:val="24"/>
                <w:szCs w:val="24"/>
              </w:rPr>
              <w:t>2</w:t>
            </w:r>
            <w:r w:rsidRPr="00B27719">
              <w:rPr>
                <w:rFonts w:eastAsia="Verdana"/>
                <w:sz w:val="24"/>
                <w:szCs w:val="24"/>
              </w:rPr>
              <w:t xml:space="preserve"> validated by Institution of at least 240 credits (one credit equalling ten notional learning hours) of which 120 credits must be at level 5</w:t>
            </w:r>
            <w:r w:rsidR="008C0172" w:rsidRPr="00B27719">
              <w:rPr>
                <w:rFonts w:eastAsia="Verdana"/>
                <w:sz w:val="24"/>
                <w:szCs w:val="24"/>
              </w:rPr>
              <w:t>,</w:t>
            </w:r>
            <w:r w:rsidR="00AC7595" w:rsidRPr="00B27719">
              <w:rPr>
                <w:rFonts w:eastAsia="Verdana"/>
                <w:sz w:val="24"/>
                <w:szCs w:val="24"/>
              </w:rPr>
              <w:t xml:space="preserve"> which </w:t>
            </w:r>
            <w:r w:rsidR="00476A7A" w:rsidRPr="00B27719">
              <w:rPr>
                <w:rFonts w:eastAsia="Verdana"/>
                <w:sz w:val="24"/>
                <w:szCs w:val="24"/>
              </w:rPr>
              <w:t xml:space="preserve">uses </w:t>
            </w:r>
            <w:r w:rsidR="0071099A" w:rsidRPr="00B27719">
              <w:rPr>
                <w:rFonts w:eastAsia="Verdana"/>
                <w:sz w:val="24"/>
                <w:szCs w:val="24"/>
              </w:rPr>
              <w:t xml:space="preserve">the Pearson </w:t>
            </w:r>
            <w:r w:rsidR="003E6C8E" w:rsidRPr="00B27719">
              <w:rPr>
                <w:rFonts w:eastAsia="Verdana"/>
                <w:sz w:val="24"/>
                <w:szCs w:val="24"/>
              </w:rPr>
              <w:t>IP</w:t>
            </w:r>
            <w:r w:rsidR="0071099A" w:rsidRPr="00B27719">
              <w:rPr>
                <w:rFonts w:eastAsia="Verdana"/>
                <w:sz w:val="24"/>
                <w:szCs w:val="24"/>
              </w:rPr>
              <w:t xml:space="preserve"> and </w:t>
            </w:r>
            <w:r w:rsidR="008C0172" w:rsidRPr="00B27719">
              <w:rPr>
                <w:rFonts w:eastAsia="Verdana"/>
                <w:sz w:val="24"/>
                <w:szCs w:val="24"/>
              </w:rPr>
              <w:t xml:space="preserve">is </w:t>
            </w:r>
            <w:r w:rsidR="00AC7595" w:rsidRPr="00B27719">
              <w:rPr>
                <w:rFonts w:eastAsia="Verdana"/>
                <w:sz w:val="24"/>
                <w:szCs w:val="24"/>
              </w:rPr>
              <w:t>offered under the</w:t>
            </w:r>
            <w:r w:rsidR="008C0172" w:rsidRPr="00B27719">
              <w:rPr>
                <w:rFonts w:eastAsia="Verdana"/>
                <w:sz w:val="24"/>
                <w:szCs w:val="24"/>
              </w:rPr>
              <w:t xml:space="preserve"> Pearson Qualification title and</w:t>
            </w:r>
            <w:r w:rsidR="00AC7595" w:rsidRPr="00B27719">
              <w:rPr>
                <w:rFonts w:eastAsia="Verdana"/>
                <w:sz w:val="24"/>
                <w:szCs w:val="24"/>
              </w:rPr>
              <w:t xml:space="preserve"> </w:t>
            </w:r>
            <w:r w:rsidR="00AC7595" w:rsidRPr="00B27719">
              <w:rPr>
                <w:rFonts w:eastAsia="Verdana"/>
                <w:i/>
                <w:sz w:val="24"/>
                <w:szCs w:val="24"/>
              </w:rPr>
              <w:t xml:space="preserve">Higher National Diploma </w:t>
            </w:r>
            <w:r w:rsidR="00AC7595" w:rsidRPr="00B27719">
              <w:rPr>
                <w:rFonts w:eastAsia="Verdana"/>
                <w:sz w:val="24"/>
                <w:szCs w:val="24"/>
              </w:rPr>
              <w:t>trademark</w:t>
            </w:r>
            <w:r w:rsidRPr="00B27719">
              <w:rPr>
                <w:rFonts w:eastAsia="Verdana"/>
                <w:sz w:val="24"/>
                <w:szCs w:val="24"/>
              </w:rPr>
              <w:t xml:space="preserve">. The HND is designed to provide assessed certification by </w:t>
            </w:r>
            <w:r w:rsidR="0071099A" w:rsidRPr="00B27719">
              <w:rPr>
                <w:rFonts w:eastAsia="Verdana"/>
                <w:sz w:val="24"/>
                <w:szCs w:val="24"/>
              </w:rPr>
              <w:t>the</w:t>
            </w:r>
            <w:r w:rsidRPr="00B27719">
              <w:rPr>
                <w:rFonts w:eastAsia="Verdana"/>
                <w:sz w:val="24"/>
                <w:szCs w:val="24"/>
              </w:rPr>
              <w:t xml:space="preserve"> </w:t>
            </w:r>
            <w:r w:rsidR="0071099A" w:rsidRPr="00B27719">
              <w:rPr>
                <w:rFonts w:eastAsia="Verdana"/>
                <w:sz w:val="24"/>
                <w:szCs w:val="24"/>
              </w:rPr>
              <w:t>I</w:t>
            </w:r>
            <w:r w:rsidRPr="00B27719">
              <w:rPr>
                <w:rFonts w:eastAsia="Verdana"/>
                <w:sz w:val="24"/>
                <w:szCs w:val="24"/>
              </w:rPr>
              <w:t xml:space="preserve">nstitution after two years of full time study </w:t>
            </w:r>
            <w:r w:rsidR="0062290C" w:rsidRPr="00B27719">
              <w:rPr>
                <w:rFonts w:eastAsia="Verdana"/>
                <w:sz w:val="24"/>
                <w:szCs w:val="24"/>
              </w:rPr>
              <w:t xml:space="preserve">or equivalent period of part time study </w:t>
            </w:r>
            <w:r w:rsidRPr="00B27719">
              <w:rPr>
                <w:rFonts w:eastAsia="Verdana"/>
                <w:sz w:val="24"/>
                <w:szCs w:val="24"/>
              </w:rPr>
              <w:t xml:space="preserve">of an undergraduate </w:t>
            </w:r>
            <w:r w:rsidR="003B151B" w:rsidRPr="00B27719">
              <w:rPr>
                <w:rFonts w:eastAsia="Verdana"/>
                <w:sz w:val="24"/>
                <w:szCs w:val="24"/>
              </w:rPr>
              <w:t>P</w:t>
            </w:r>
            <w:r w:rsidRPr="00B27719">
              <w:rPr>
                <w:rFonts w:eastAsia="Verdana"/>
                <w:sz w:val="24"/>
                <w:szCs w:val="24"/>
              </w:rPr>
              <w:t>rogramme to allow students to progress into employment or into further learning. It is not regulated by Ofqual.</w:t>
            </w:r>
          </w:p>
        </w:tc>
      </w:tr>
      <w:tr w:rsidR="000F7F2B" w:rsidRPr="00B27719" w14:paraId="54FC4812" w14:textId="77777777">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DEB88C" w14:textId="77777777" w:rsidR="000F7F2B" w:rsidRPr="00B27719" w:rsidRDefault="00477978">
            <w:pPr>
              <w:spacing w:line="240" w:lineRule="auto"/>
              <w:contextualSpacing w:val="0"/>
              <w:rPr>
                <w:sz w:val="24"/>
                <w:szCs w:val="24"/>
              </w:rPr>
            </w:pPr>
            <w:r w:rsidRPr="00B27719">
              <w:rPr>
                <w:rFonts w:eastAsia="Verdana"/>
                <w:sz w:val="24"/>
                <w:szCs w:val="24"/>
              </w:rPr>
              <w:t>1.1.5</w:t>
            </w:r>
          </w:p>
        </w:tc>
        <w:tc>
          <w:tcPr>
            <w:tcW w:w="8175" w:type="dxa"/>
            <w:tcBorders>
              <w:bottom w:val="single" w:sz="8" w:space="0" w:color="000000"/>
              <w:right w:val="single" w:sz="8" w:space="0" w:color="000000"/>
            </w:tcBorders>
            <w:tcMar>
              <w:top w:w="100" w:type="dxa"/>
              <w:left w:w="100" w:type="dxa"/>
              <w:bottom w:w="100" w:type="dxa"/>
              <w:right w:w="100" w:type="dxa"/>
            </w:tcMar>
          </w:tcPr>
          <w:p w14:paraId="745AA86D" w14:textId="4DAF5C31" w:rsidR="000F7F2B" w:rsidRPr="00B27719" w:rsidRDefault="00477978" w:rsidP="00AC7595">
            <w:pPr>
              <w:widowControl w:val="0"/>
              <w:spacing w:line="240" w:lineRule="auto"/>
              <w:contextualSpacing w:val="0"/>
              <w:rPr>
                <w:sz w:val="24"/>
                <w:szCs w:val="24"/>
              </w:rPr>
            </w:pPr>
            <w:r w:rsidRPr="00B27719">
              <w:rPr>
                <w:rFonts w:eastAsia="Verdana"/>
                <w:sz w:val="24"/>
                <w:szCs w:val="24"/>
              </w:rPr>
              <w:t xml:space="preserve">“Higher National Qualification” in the singular or plural form is a reference to either or both of the </w:t>
            </w:r>
            <w:r w:rsidR="00AC7595" w:rsidRPr="00B27719">
              <w:rPr>
                <w:rFonts w:eastAsia="Verdana"/>
                <w:sz w:val="24"/>
                <w:szCs w:val="24"/>
              </w:rPr>
              <w:t>Higher National Certificate</w:t>
            </w:r>
            <w:r w:rsidR="00AC7595" w:rsidRPr="00B27719" w:rsidDel="00AC7595">
              <w:rPr>
                <w:rFonts w:eastAsia="Verdana"/>
                <w:sz w:val="24"/>
                <w:szCs w:val="24"/>
              </w:rPr>
              <w:t xml:space="preserve"> </w:t>
            </w:r>
            <w:r w:rsidR="0071099A" w:rsidRPr="00B27719">
              <w:rPr>
                <w:rFonts w:eastAsia="Verdana"/>
                <w:sz w:val="24"/>
                <w:szCs w:val="24"/>
              </w:rPr>
              <w:t xml:space="preserve">Qualification </w:t>
            </w:r>
            <w:r w:rsidR="00AC7595" w:rsidRPr="00B27719">
              <w:rPr>
                <w:rFonts w:eastAsia="Verdana"/>
                <w:sz w:val="24"/>
                <w:szCs w:val="24"/>
              </w:rPr>
              <w:t>and Higher National Diploma</w:t>
            </w:r>
            <w:r w:rsidR="00AC7595" w:rsidRPr="00B27719" w:rsidDel="00AC7595">
              <w:rPr>
                <w:rFonts w:eastAsia="Verdana"/>
                <w:sz w:val="24"/>
                <w:szCs w:val="24"/>
              </w:rPr>
              <w:t xml:space="preserve"> </w:t>
            </w:r>
            <w:r w:rsidR="0071099A" w:rsidRPr="00B27719">
              <w:rPr>
                <w:rFonts w:eastAsia="Verdana"/>
                <w:sz w:val="24"/>
                <w:szCs w:val="24"/>
              </w:rPr>
              <w:t xml:space="preserve">Qualification </w:t>
            </w:r>
            <w:r w:rsidRPr="00B27719">
              <w:rPr>
                <w:rFonts w:eastAsia="Verdana"/>
                <w:sz w:val="24"/>
                <w:szCs w:val="24"/>
              </w:rPr>
              <w:t>as applicable from the context.</w:t>
            </w:r>
          </w:p>
        </w:tc>
      </w:tr>
      <w:tr w:rsidR="000F7F2B" w:rsidRPr="00B27719" w14:paraId="462DC7B1" w14:textId="77777777">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65B8B9" w14:textId="77777777" w:rsidR="000F7F2B" w:rsidRPr="00B27719" w:rsidRDefault="00477978">
            <w:pPr>
              <w:widowControl w:val="0"/>
              <w:spacing w:line="240" w:lineRule="auto"/>
              <w:contextualSpacing w:val="0"/>
              <w:rPr>
                <w:sz w:val="24"/>
                <w:szCs w:val="24"/>
              </w:rPr>
            </w:pPr>
            <w:r w:rsidRPr="00B27719">
              <w:rPr>
                <w:rFonts w:eastAsia="Verdana"/>
                <w:sz w:val="24"/>
                <w:szCs w:val="24"/>
              </w:rPr>
              <w:t>1.1.6</w:t>
            </w:r>
          </w:p>
        </w:tc>
        <w:tc>
          <w:tcPr>
            <w:tcW w:w="8175" w:type="dxa"/>
            <w:tcBorders>
              <w:bottom w:val="single" w:sz="8" w:space="0" w:color="000000"/>
              <w:right w:val="single" w:sz="8" w:space="0" w:color="000000"/>
            </w:tcBorders>
            <w:tcMar>
              <w:top w:w="100" w:type="dxa"/>
              <w:left w:w="100" w:type="dxa"/>
              <w:bottom w:w="100" w:type="dxa"/>
              <w:right w:w="100" w:type="dxa"/>
            </w:tcMar>
          </w:tcPr>
          <w:p w14:paraId="726C7768" w14:textId="64EB09A8" w:rsidR="000F7F2B" w:rsidRPr="00B27719" w:rsidRDefault="00477978" w:rsidP="002666CE">
            <w:pPr>
              <w:widowControl w:val="0"/>
              <w:spacing w:line="240" w:lineRule="auto"/>
              <w:contextualSpacing w:val="0"/>
              <w:rPr>
                <w:sz w:val="24"/>
                <w:szCs w:val="24"/>
              </w:rPr>
            </w:pPr>
            <w:r w:rsidRPr="00B27719">
              <w:rPr>
                <w:rFonts w:eastAsia="Verdana"/>
                <w:sz w:val="24"/>
                <w:szCs w:val="24"/>
              </w:rPr>
              <w:t xml:space="preserve">“Institution” means </w:t>
            </w:r>
            <w:r w:rsidR="0071099A" w:rsidRPr="00B27719">
              <w:rPr>
                <w:rFonts w:eastAsia="Verdana"/>
                <w:sz w:val="24"/>
                <w:szCs w:val="24"/>
              </w:rPr>
              <w:t>the</w:t>
            </w:r>
            <w:r w:rsidRPr="00B27719">
              <w:rPr>
                <w:rFonts w:eastAsia="Verdana"/>
                <w:sz w:val="24"/>
                <w:szCs w:val="24"/>
              </w:rPr>
              <w:t xml:space="preserve"> University </w:t>
            </w:r>
            <w:r w:rsidR="0071099A" w:rsidRPr="00B27719">
              <w:rPr>
                <w:rFonts w:eastAsia="Verdana"/>
                <w:sz w:val="24"/>
                <w:szCs w:val="24"/>
              </w:rPr>
              <w:t>named in this Agreement, and which has</w:t>
            </w:r>
            <w:r w:rsidRPr="00B27719">
              <w:rPr>
                <w:rFonts w:eastAsia="Verdana"/>
                <w:sz w:val="24"/>
                <w:szCs w:val="24"/>
              </w:rPr>
              <w:t xml:space="preserve"> Taught Degree Awarding Powers, </w:t>
            </w:r>
            <w:r w:rsidR="00FA5D9D" w:rsidRPr="00B27719">
              <w:rPr>
                <w:rFonts w:eastAsia="Verdana"/>
                <w:sz w:val="24"/>
                <w:szCs w:val="24"/>
              </w:rPr>
              <w:t xml:space="preserve">is </w:t>
            </w:r>
            <w:r w:rsidRPr="00B27719">
              <w:rPr>
                <w:rFonts w:eastAsia="Verdana"/>
                <w:sz w:val="24"/>
                <w:szCs w:val="24"/>
              </w:rPr>
              <w:t xml:space="preserve">established with the primary aim of providing higher education and which is the awarder of the </w:t>
            </w:r>
            <w:r w:rsidR="00AC7595" w:rsidRPr="00B27719">
              <w:rPr>
                <w:rFonts w:eastAsia="Verdana"/>
                <w:sz w:val="24"/>
                <w:szCs w:val="24"/>
              </w:rPr>
              <w:t>Higher National Q</w:t>
            </w:r>
            <w:r w:rsidRPr="00B27719">
              <w:rPr>
                <w:rFonts w:eastAsia="Verdana"/>
                <w:sz w:val="24"/>
                <w:szCs w:val="24"/>
              </w:rPr>
              <w:t xml:space="preserve">ualifications offered in accordance with </w:t>
            </w:r>
            <w:r w:rsidR="00AC7595" w:rsidRPr="00B27719">
              <w:rPr>
                <w:rFonts w:eastAsia="Verdana"/>
                <w:sz w:val="24"/>
                <w:szCs w:val="24"/>
              </w:rPr>
              <w:t>this Agreement</w:t>
            </w:r>
            <w:r w:rsidR="0071099A" w:rsidRPr="00B27719">
              <w:rPr>
                <w:rFonts w:eastAsia="Verdana"/>
                <w:sz w:val="24"/>
                <w:szCs w:val="24"/>
              </w:rPr>
              <w:t>, the Trade</w:t>
            </w:r>
            <w:r w:rsidR="002666CE" w:rsidRPr="00B27719">
              <w:rPr>
                <w:rFonts w:eastAsia="Verdana"/>
                <w:sz w:val="24"/>
                <w:szCs w:val="24"/>
              </w:rPr>
              <w:t>m</w:t>
            </w:r>
            <w:r w:rsidR="0071099A" w:rsidRPr="00B27719">
              <w:rPr>
                <w:rFonts w:eastAsia="Verdana"/>
                <w:sz w:val="24"/>
                <w:szCs w:val="24"/>
              </w:rPr>
              <w:t xml:space="preserve">ark </w:t>
            </w:r>
            <w:r w:rsidR="002666CE" w:rsidRPr="00B27719">
              <w:rPr>
                <w:rFonts w:eastAsia="Verdana"/>
                <w:sz w:val="24"/>
                <w:szCs w:val="24"/>
              </w:rPr>
              <w:t xml:space="preserve">Licence </w:t>
            </w:r>
            <w:r w:rsidR="0071099A" w:rsidRPr="00B27719">
              <w:rPr>
                <w:rFonts w:eastAsia="Verdana"/>
                <w:sz w:val="24"/>
                <w:szCs w:val="24"/>
              </w:rPr>
              <w:t>Agreement</w:t>
            </w:r>
            <w:r w:rsidR="00AC7595" w:rsidRPr="00B27719">
              <w:rPr>
                <w:rFonts w:eastAsia="Verdana"/>
                <w:sz w:val="24"/>
                <w:szCs w:val="24"/>
              </w:rPr>
              <w:t xml:space="preserve"> and with </w:t>
            </w:r>
            <w:r w:rsidRPr="00B27719">
              <w:rPr>
                <w:rFonts w:eastAsia="Verdana"/>
                <w:sz w:val="24"/>
                <w:szCs w:val="24"/>
              </w:rPr>
              <w:t>the UK Quality Code for Higher Education.</w:t>
            </w:r>
          </w:p>
        </w:tc>
      </w:tr>
      <w:tr w:rsidR="00D22681" w:rsidRPr="00B27719" w14:paraId="55EBB837" w14:textId="77777777">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13D9B98" w14:textId="70F5B702" w:rsidR="00D22681" w:rsidRPr="00B27719" w:rsidRDefault="00D22681">
            <w:pPr>
              <w:widowControl w:val="0"/>
              <w:spacing w:line="240" w:lineRule="auto"/>
              <w:rPr>
                <w:rFonts w:eastAsia="Verdana"/>
                <w:sz w:val="24"/>
                <w:szCs w:val="24"/>
              </w:rPr>
            </w:pPr>
            <w:r w:rsidRPr="00B27719">
              <w:rPr>
                <w:rFonts w:eastAsia="Verdana"/>
                <w:sz w:val="24"/>
                <w:szCs w:val="24"/>
              </w:rPr>
              <w:t>1.1.7</w:t>
            </w:r>
          </w:p>
        </w:tc>
        <w:tc>
          <w:tcPr>
            <w:tcW w:w="8175" w:type="dxa"/>
            <w:tcBorders>
              <w:bottom w:val="single" w:sz="8" w:space="0" w:color="000000"/>
              <w:right w:val="single" w:sz="8" w:space="0" w:color="000000"/>
            </w:tcBorders>
            <w:tcMar>
              <w:top w:w="100" w:type="dxa"/>
              <w:left w:w="100" w:type="dxa"/>
              <w:bottom w:w="100" w:type="dxa"/>
              <w:right w:w="100" w:type="dxa"/>
            </w:tcMar>
          </w:tcPr>
          <w:p w14:paraId="3386D024" w14:textId="1D7AAF0E" w:rsidR="00D22681" w:rsidRPr="00B27719" w:rsidRDefault="00D22681" w:rsidP="0062290C">
            <w:pPr>
              <w:widowControl w:val="0"/>
              <w:spacing w:line="240" w:lineRule="auto"/>
              <w:rPr>
                <w:rFonts w:eastAsia="Verdana"/>
                <w:sz w:val="24"/>
                <w:szCs w:val="24"/>
              </w:rPr>
            </w:pPr>
            <w:r w:rsidRPr="00B27719">
              <w:rPr>
                <w:rFonts w:eastAsia="Verdana"/>
                <w:sz w:val="24"/>
                <w:szCs w:val="24"/>
              </w:rPr>
              <w:t>“IRR” means Institutional Review Report;</w:t>
            </w:r>
          </w:p>
        </w:tc>
      </w:tr>
      <w:tr w:rsidR="00D22681" w:rsidRPr="00B27719" w14:paraId="655AC145" w14:textId="77777777">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52B554" w14:textId="069A7226" w:rsidR="00D22681" w:rsidRPr="00B27719" w:rsidRDefault="00D22681">
            <w:pPr>
              <w:spacing w:line="240" w:lineRule="auto"/>
              <w:contextualSpacing w:val="0"/>
              <w:rPr>
                <w:sz w:val="24"/>
                <w:szCs w:val="24"/>
              </w:rPr>
            </w:pPr>
            <w:r w:rsidRPr="00B27719">
              <w:rPr>
                <w:rFonts w:eastAsia="Verdana"/>
                <w:sz w:val="24"/>
                <w:szCs w:val="24"/>
              </w:rPr>
              <w:t>1.1.8</w:t>
            </w:r>
          </w:p>
        </w:tc>
        <w:tc>
          <w:tcPr>
            <w:tcW w:w="8175" w:type="dxa"/>
            <w:tcBorders>
              <w:bottom w:val="single" w:sz="8" w:space="0" w:color="000000"/>
              <w:right w:val="single" w:sz="8" w:space="0" w:color="000000"/>
            </w:tcBorders>
            <w:tcMar>
              <w:top w:w="100" w:type="dxa"/>
              <w:left w:w="100" w:type="dxa"/>
              <w:bottom w:w="100" w:type="dxa"/>
              <w:right w:w="100" w:type="dxa"/>
            </w:tcMar>
          </w:tcPr>
          <w:p w14:paraId="3103442A" w14:textId="6E19C8E9" w:rsidR="00D22681" w:rsidRPr="00B27719" w:rsidRDefault="00D22681" w:rsidP="003B151B">
            <w:pPr>
              <w:widowControl w:val="0"/>
              <w:spacing w:line="240" w:lineRule="auto"/>
              <w:contextualSpacing w:val="0"/>
              <w:rPr>
                <w:sz w:val="24"/>
                <w:szCs w:val="24"/>
              </w:rPr>
            </w:pPr>
            <w:r w:rsidRPr="00B27719">
              <w:rPr>
                <w:rFonts w:eastAsia="Verdana"/>
                <w:sz w:val="24"/>
                <w:szCs w:val="24"/>
              </w:rPr>
              <w:t>“Pearson IP” means, in respect of each Pearson Qualification, the Pearson Qualification Title,  the unit titles, the learning outcomes, the assessment criteria, and the rules of combination;</w:t>
            </w:r>
          </w:p>
        </w:tc>
      </w:tr>
      <w:tr w:rsidR="00D22681" w:rsidRPr="00B27719" w14:paraId="4D5E609C" w14:textId="77777777">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B54EE1" w14:textId="47774BC6" w:rsidR="00D22681" w:rsidRPr="00B27719" w:rsidRDefault="00D22681" w:rsidP="00823388">
            <w:pPr>
              <w:spacing w:line="240" w:lineRule="auto"/>
              <w:contextualSpacing w:val="0"/>
              <w:rPr>
                <w:sz w:val="24"/>
                <w:szCs w:val="24"/>
              </w:rPr>
            </w:pPr>
            <w:r w:rsidRPr="00B27719">
              <w:rPr>
                <w:rFonts w:eastAsia="Verdana"/>
                <w:sz w:val="24"/>
                <w:szCs w:val="24"/>
              </w:rPr>
              <w:t>1.1.9</w:t>
            </w:r>
          </w:p>
        </w:tc>
        <w:tc>
          <w:tcPr>
            <w:tcW w:w="8175" w:type="dxa"/>
            <w:tcBorders>
              <w:bottom w:val="single" w:sz="8" w:space="0" w:color="000000"/>
              <w:right w:val="single" w:sz="8" w:space="0" w:color="000000"/>
            </w:tcBorders>
            <w:tcMar>
              <w:top w:w="100" w:type="dxa"/>
              <w:left w:w="100" w:type="dxa"/>
              <w:bottom w:w="100" w:type="dxa"/>
              <w:right w:w="100" w:type="dxa"/>
            </w:tcMar>
          </w:tcPr>
          <w:p w14:paraId="779FED45" w14:textId="6DAE47E0" w:rsidR="00D22681" w:rsidRPr="00B27719" w:rsidRDefault="00D22681">
            <w:pPr>
              <w:spacing w:line="240" w:lineRule="auto"/>
              <w:contextualSpacing w:val="0"/>
              <w:rPr>
                <w:sz w:val="24"/>
                <w:szCs w:val="24"/>
              </w:rPr>
            </w:pPr>
            <w:r w:rsidRPr="00B27719">
              <w:rPr>
                <w:rFonts w:eastAsia="Verdana"/>
                <w:sz w:val="24"/>
                <w:szCs w:val="24"/>
              </w:rPr>
              <w:t xml:space="preserve">“Pearson Qualification” means each of the Pearson qualifications set out in Schedules 1 and 2, which Schedules shall be re-submitted annually by Institution for approval prior to the start of each academic year;  </w:t>
            </w:r>
          </w:p>
        </w:tc>
      </w:tr>
      <w:tr w:rsidR="00D22681" w:rsidRPr="00B27719" w14:paraId="5D721FC8" w14:textId="77777777">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05D394" w14:textId="213420CC" w:rsidR="00D22681" w:rsidRPr="00B27719" w:rsidRDefault="00D22681" w:rsidP="00FD46C3">
            <w:pPr>
              <w:spacing w:line="240" w:lineRule="auto"/>
              <w:rPr>
                <w:rFonts w:eastAsia="Verdana"/>
                <w:sz w:val="24"/>
                <w:szCs w:val="24"/>
              </w:rPr>
            </w:pPr>
            <w:r w:rsidRPr="00B27719">
              <w:rPr>
                <w:rFonts w:eastAsia="Verdana"/>
                <w:sz w:val="24"/>
                <w:szCs w:val="24"/>
              </w:rPr>
              <w:t>1.1.10</w:t>
            </w:r>
          </w:p>
        </w:tc>
        <w:tc>
          <w:tcPr>
            <w:tcW w:w="8175" w:type="dxa"/>
            <w:tcBorders>
              <w:bottom w:val="single" w:sz="8" w:space="0" w:color="000000"/>
              <w:right w:val="single" w:sz="8" w:space="0" w:color="000000"/>
            </w:tcBorders>
            <w:tcMar>
              <w:top w:w="100" w:type="dxa"/>
              <w:left w:w="100" w:type="dxa"/>
              <w:bottom w:w="100" w:type="dxa"/>
              <w:right w:w="100" w:type="dxa"/>
            </w:tcMar>
          </w:tcPr>
          <w:p w14:paraId="7392AFE0" w14:textId="561C00D7" w:rsidR="00D22681" w:rsidRPr="00B27719" w:rsidRDefault="00D22681" w:rsidP="00823388">
            <w:pPr>
              <w:spacing w:line="240" w:lineRule="auto"/>
              <w:rPr>
                <w:rFonts w:eastAsia="Verdana"/>
                <w:sz w:val="24"/>
                <w:szCs w:val="24"/>
              </w:rPr>
            </w:pPr>
            <w:r w:rsidRPr="00B27719">
              <w:rPr>
                <w:rFonts w:eastAsia="Verdana"/>
                <w:sz w:val="24"/>
                <w:szCs w:val="24"/>
              </w:rPr>
              <w:t>“Pearson Qualification Title” means the title of the relevant Pearson Qualification but excluding the word “BTEC”;</w:t>
            </w:r>
          </w:p>
        </w:tc>
      </w:tr>
      <w:tr w:rsidR="00D22681" w:rsidRPr="00B27719" w14:paraId="6D197328" w14:textId="77777777" w:rsidTr="00D22681">
        <w:trPr>
          <w:trHeight w:val="140"/>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29EF8F" w14:textId="75BB83EF" w:rsidR="00D22681" w:rsidRPr="00B27719" w:rsidRDefault="00D22681" w:rsidP="00FD46C3">
            <w:pPr>
              <w:spacing w:line="240" w:lineRule="auto"/>
              <w:rPr>
                <w:rFonts w:eastAsia="Verdana"/>
                <w:sz w:val="24"/>
                <w:szCs w:val="24"/>
              </w:rPr>
            </w:pPr>
            <w:r w:rsidRPr="00B27719">
              <w:rPr>
                <w:rFonts w:eastAsia="Verdana"/>
                <w:sz w:val="24"/>
                <w:szCs w:val="24"/>
              </w:rPr>
              <w:t>1.1.11</w:t>
            </w:r>
          </w:p>
        </w:tc>
        <w:tc>
          <w:tcPr>
            <w:tcW w:w="8175" w:type="dxa"/>
            <w:tcBorders>
              <w:bottom w:val="single" w:sz="8" w:space="0" w:color="000000"/>
              <w:right w:val="single" w:sz="8" w:space="0" w:color="000000"/>
            </w:tcBorders>
            <w:tcMar>
              <w:top w:w="100" w:type="dxa"/>
              <w:left w:w="100" w:type="dxa"/>
              <w:bottom w:w="100" w:type="dxa"/>
              <w:right w:w="100" w:type="dxa"/>
            </w:tcMar>
          </w:tcPr>
          <w:p w14:paraId="6ED7EFDA" w14:textId="550BE588" w:rsidR="00D22681" w:rsidRPr="00B27719" w:rsidRDefault="00D22681" w:rsidP="002666CE">
            <w:pPr>
              <w:spacing w:line="240" w:lineRule="auto"/>
              <w:rPr>
                <w:rFonts w:eastAsia="Verdana"/>
                <w:sz w:val="24"/>
                <w:szCs w:val="24"/>
              </w:rPr>
            </w:pPr>
            <w:r w:rsidRPr="00B27719">
              <w:rPr>
                <w:rFonts w:eastAsia="Verdana"/>
                <w:color w:val="222222"/>
                <w:sz w:val="24"/>
                <w:szCs w:val="24"/>
                <w:highlight w:val="white"/>
              </w:rPr>
              <w:t>"Programme" means a programme of study delivered by Institution and leading to a Higher National Qualification;</w:t>
            </w:r>
          </w:p>
        </w:tc>
      </w:tr>
      <w:tr w:rsidR="00D22681" w:rsidRPr="00B27719" w14:paraId="612EDE8F" w14:textId="77777777">
        <w:trPr>
          <w:jc w:val="center"/>
        </w:trPr>
        <w:tc>
          <w:tcPr>
            <w:tcW w:w="11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ED2691" w14:textId="4FB40EA7" w:rsidR="00D22681" w:rsidRPr="00B27719" w:rsidRDefault="00D22681">
            <w:pPr>
              <w:spacing w:line="240" w:lineRule="auto"/>
              <w:rPr>
                <w:rFonts w:eastAsia="Verdana"/>
                <w:sz w:val="24"/>
                <w:szCs w:val="24"/>
              </w:rPr>
            </w:pPr>
            <w:r w:rsidRPr="00B27719">
              <w:rPr>
                <w:rFonts w:eastAsia="Verdana"/>
                <w:sz w:val="24"/>
                <w:szCs w:val="24"/>
              </w:rPr>
              <w:t>1.1.12</w:t>
            </w:r>
          </w:p>
        </w:tc>
        <w:tc>
          <w:tcPr>
            <w:tcW w:w="8175" w:type="dxa"/>
            <w:tcBorders>
              <w:bottom w:val="single" w:sz="8" w:space="0" w:color="000000"/>
              <w:right w:val="single" w:sz="8" w:space="0" w:color="000000"/>
            </w:tcBorders>
            <w:tcMar>
              <w:top w:w="100" w:type="dxa"/>
              <w:left w:w="100" w:type="dxa"/>
              <w:bottom w:w="100" w:type="dxa"/>
              <w:right w:w="100" w:type="dxa"/>
            </w:tcMar>
          </w:tcPr>
          <w:p w14:paraId="23ED49A4" w14:textId="0A8D19C6" w:rsidR="00D22681" w:rsidRPr="00B27719" w:rsidRDefault="00D22681" w:rsidP="002666CE">
            <w:pPr>
              <w:spacing w:line="240" w:lineRule="auto"/>
              <w:rPr>
                <w:rFonts w:eastAsia="Verdana"/>
                <w:sz w:val="24"/>
                <w:szCs w:val="24"/>
              </w:rPr>
            </w:pPr>
            <w:r w:rsidRPr="00B27719">
              <w:rPr>
                <w:rFonts w:eastAsia="Verdana"/>
                <w:color w:val="222222"/>
                <w:sz w:val="24"/>
                <w:szCs w:val="24"/>
                <w:highlight w:val="white"/>
              </w:rPr>
              <w:t xml:space="preserve">“Trademark” means the </w:t>
            </w:r>
            <w:r w:rsidRPr="00B27719">
              <w:rPr>
                <w:rFonts w:eastAsia="Verdana"/>
                <w:i/>
                <w:color w:val="222222"/>
                <w:sz w:val="24"/>
                <w:szCs w:val="24"/>
                <w:highlight w:val="white"/>
              </w:rPr>
              <w:t>Higher National Certificate</w:t>
            </w:r>
            <w:r w:rsidRPr="00B27719">
              <w:rPr>
                <w:rFonts w:eastAsia="Verdana"/>
                <w:color w:val="222222"/>
                <w:sz w:val="24"/>
                <w:szCs w:val="24"/>
                <w:highlight w:val="white"/>
              </w:rPr>
              <w:t xml:space="preserve"> trademark and/or the </w:t>
            </w:r>
            <w:r w:rsidRPr="00B27719">
              <w:rPr>
                <w:rFonts w:eastAsia="Verdana"/>
                <w:i/>
                <w:color w:val="222222"/>
                <w:sz w:val="24"/>
                <w:szCs w:val="24"/>
                <w:highlight w:val="white"/>
              </w:rPr>
              <w:t xml:space="preserve">Higher National Diploma </w:t>
            </w:r>
            <w:r w:rsidRPr="00B27719">
              <w:rPr>
                <w:rFonts w:eastAsia="Verdana"/>
                <w:color w:val="222222"/>
                <w:sz w:val="24"/>
                <w:szCs w:val="24"/>
                <w:highlight w:val="white"/>
              </w:rPr>
              <w:t>trademark, as the case may be;</w:t>
            </w:r>
          </w:p>
        </w:tc>
      </w:tr>
      <w:tr w:rsidR="00D22681" w:rsidRPr="00B27719" w14:paraId="10D9AE5B" w14:textId="77777777" w:rsidTr="00D22681">
        <w:trPr>
          <w:jc w:val="center"/>
        </w:trPr>
        <w:tc>
          <w:tcPr>
            <w:tcW w:w="1155" w:type="dxa"/>
            <w:tcMar>
              <w:top w:w="100" w:type="dxa"/>
              <w:left w:w="100" w:type="dxa"/>
              <w:bottom w:w="100" w:type="dxa"/>
              <w:right w:w="100" w:type="dxa"/>
            </w:tcMar>
          </w:tcPr>
          <w:p w14:paraId="38AD13EB" w14:textId="60CF94D2" w:rsidR="00D22681" w:rsidRPr="00B27719" w:rsidRDefault="00D22681">
            <w:pPr>
              <w:spacing w:line="240" w:lineRule="auto"/>
              <w:contextualSpacing w:val="0"/>
              <w:rPr>
                <w:sz w:val="24"/>
                <w:szCs w:val="24"/>
              </w:rPr>
            </w:pPr>
            <w:r w:rsidRPr="00B27719">
              <w:rPr>
                <w:rFonts w:eastAsia="Verdana"/>
                <w:sz w:val="24"/>
                <w:szCs w:val="24"/>
              </w:rPr>
              <w:lastRenderedPageBreak/>
              <w:t>1.1.13</w:t>
            </w:r>
          </w:p>
        </w:tc>
        <w:tc>
          <w:tcPr>
            <w:tcW w:w="8175" w:type="dxa"/>
            <w:tcMar>
              <w:top w:w="100" w:type="dxa"/>
              <w:left w:w="100" w:type="dxa"/>
              <w:bottom w:w="100" w:type="dxa"/>
              <w:right w:w="100" w:type="dxa"/>
            </w:tcMar>
          </w:tcPr>
          <w:p w14:paraId="62E1F0A4" w14:textId="3EAD951E" w:rsidR="00D22681" w:rsidRPr="00B27719" w:rsidRDefault="00D22681" w:rsidP="002666CE">
            <w:pPr>
              <w:spacing w:line="240" w:lineRule="auto"/>
              <w:contextualSpacing w:val="0"/>
              <w:rPr>
                <w:sz w:val="24"/>
                <w:szCs w:val="24"/>
              </w:rPr>
            </w:pPr>
            <w:r w:rsidRPr="00B27719">
              <w:rPr>
                <w:rFonts w:eastAsia="Verdana"/>
                <w:sz w:val="24"/>
                <w:szCs w:val="24"/>
              </w:rPr>
              <w:t>“Trademark Licence Agreement” means the separate agreement entered into between the parties under which Pearson licensed to Institution the right to use the Trademarks;</w:t>
            </w:r>
          </w:p>
        </w:tc>
      </w:tr>
      <w:tr w:rsidR="00D22681" w:rsidRPr="00B27719" w14:paraId="135E907D" w14:textId="77777777" w:rsidTr="00D22681">
        <w:trPr>
          <w:jc w:val="center"/>
        </w:trPr>
        <w:tc>
          <w:tcPr>
            <w:tcW w:w="1155" w:type="dxa"/>
            <w:tcMar>
              <w:top w:w="100" w:type="dxa"/>
              <w:left w:w="100" w:type="dxa"/>
              <w:bottom w:w="100" w:type="dxa"/>
              <w:right w:w="100" w:type="dxa"/>
            </w:tcMar>
          </w:tcPr>
          <w:p w14:paraId="6211D428" w14:textId="0955D5EB" w:rsidR="00D22681" w:rsidRPr="00B27719" w:rsidRDefault="00D22681">
            <w:pPr>
              <w:spacing w:line="240" w:lineRule="auto"/>
              <w:rPr>
                <w:rFonts w:eastAsia="Verdana"/>
                <w:sz w:val="24"/>
                <w:szCs w:val="24"/>
              </w:rPr>
            </w:pPr>
            <w:r w:rsidRPr="00B27719">
              <w:rPr>
                <w:rFonts w:eastAsia="Verdana"/>
                <w:sz w:val="24"/>
                <w:szCs w:val="24"/>
              </w:rPr>
              <w:t>1.2</w:t>
            </w:r>
          </w:p>
        </w:tc>
        <w:tc>
          <w:tcPr>
            <w:tcW w:w="8175" w:type="dxa"/>
            <w:tcMar>
              <w:top w:w="100" w:type="dxa"/>
              <w:left w:w="100" w:type="dxa"/>
              <w:bottom w:w="100" w:type="dxa"/>
              <w:right w:w="100" w:type="dxa"/>
            </w:tcMar>
          </w:tcPr>
          <w:p w14:paraId="6104E1FD" w14:textId="3467077B" w:rsidR="00D22681" w:rsidRPr="00B27719" w:rsidRDefault="00D22681" w:rsidP="00BA45F6">
            <w:pPr>
              <w:spacing w:line="240" w:lineRule="auto"/>
              <w:rPr>
                <w:rFonts w:eastAsia="Verdana"/>
                <w:color w:val="222222"/>
                <w:sz w:val="24"/>
                <w:szCs w:val="24"/>
                <w:highlight w:val="white"/>
              </w:rPr>
            </w:pPr>
            <w:r w:rsidRPr="00B27719">
              <w:rPr>
                <w:rFonts w:eastAsia="Verdana"/>
                <w:sz w:val="24"/>
                <w:szCs w:val="24"/>
              </w:rPr>
              <w:t>In this Agreement, except where the context otherwise requires:</w:t>
            </w:r>
          </w:p>
        </w:tc>
      </w:tr>
      <w:tr w:rsidR="00D22681" w:rsidRPr="00B27719" w14:paraId="226E8E94" w14:textId="77777777">
        <w:trPr>
          <w:jc w:val="center"/>
        </w:trPr>
        <w:tc>
          <w:tcPr>
            <w:tcW w:w="1155" w:type="dxa"/>
            <w:tcMar>
              <w:top w:w="100" w:type="dxa"/>
              <w:left w:w="100" w:type="dxa"/>
              <w:bottom w:w="100" w:type="dxa"/>
              <w:right w:w="100" w:type="dxa"/>
            </w:tcMar>
          </w:tcPr>
          <w:p w14:paraId="6D7A7B06" w14:textId="07C7B2A8" w:rsidR="00D22681" w:rsidRPr="00B27719" w:rsidRDefault="00D22681">
            <w:pPr>
              <w:spacing w:line="240" w:lineRule="auto"/>
              <w:rPr>
                <w:rFonts w:eastAsia="Verdana"/>
                <w:sz w:val="24"/>
                <w:szCs w:val="24"/>
              </w:rPr>
            </w:pPr>
            <w:r w:rsidRPr="00B27719">
              <w:rPr>
                <w:rFonts w:eastAsia="Verdana"/>
                <w:sz w:val="24"/>
                <w:szCs w:val="24"/>
              </w:rPr>
              <w:t>1.2.1</w:t>
            </w:r>
          </w:p>
        </w:tc>
        <w:tc>
          <w:tcPr>
            <w:tcW w:w="8175" w:type="dxa"/>
            <w:tcMar>
              <w:top w:w="100" w:type="dxa"/>
              <w:left w:w="100" w:type="dxa"/>
              <w:bottom w:w="100" w:type="dxa"/>
              <w:right w:w="100" w:type="dxa"/>
            </w:tcMar>
          </w:tcPr>
          <w:p w14:paraId="0ECE7BC3" w14:textId="719C14C6" w:rsidR="00D22681" w:rsidRPr="00B27719" w:rsidRDefault="00D22681">
            <w:pPr>
              <w:spacing w:line="240" w:lineRule="auto"/>
              <w:rPr>
                <w:rFonts w:eastAsia="Verdana"/>
                <w:sz w:val="24"/>
                <w:szCs w:val="24"/>
              </w:rPr>
            </w:pPr>
            <w:r w:rsidRPr="00B27719">
              <w:rPr>
                <w:rFonts w:eastAsia="Verdana"/>
                <w:sz w:val="24"/>
                <w:szCs w:val="24"/>
              </w:rPr>
              <w:t>any reference to a clause is to the relevant clause of this Agreement and any reference to a sub clause or paragraph is to the relevant sub clause or paragraph of the clause in which it occurs;</w:t>
            </w:r>
          </w:p>
        </w:tc>
      </w:tr>
      <w:tr w:rsidR="00D22681" w:rsidRPr="00B27719" w14:paraId="35320173" w14:textId="77777777">
        <w:trPr>
          <w:jc w:val="center"/>
        </w:trPr>
        <w:tc>
          <w:tcPr>
            <w:tcW w:w="1155" w:type="dxa"/>
            <w:tcMar>
              <w:top w:w="100" w:type="dxa"/>
              <w:left w:w="100" w:type="dxa"/>
              <w:bottom w:w="100" w:type="dxa"/>
              <w:right w:w="100" w:type="dxa"/>
            </w:tcMar>
          </w:tcPr>
          <w:p w14:paraId="2553C92D" w14:textId="77777777" w:rsidR="00D22681" w:rsidRPr="00B27719" w:rsidRDefault="00D22681">
            <w:pPr>
              <w:spacing w:line="240" w:lineRule="auto"/>
              <w:contextualSpacing w:val="0"/>
              <w:rPr>
                <w:sz w:val="24"/>
                <w:szCs w:val="24"/>
              </w:rPr>
            </w:pPr>
            <w:r w:rsidRPr="00B27719">
              <w:rPr>
                <w:rFonts w:eastAsia="Verdana"/>
                <w:sz w:val="24"/>
                <w:szCs w:val="24"/>
              </w:rPr>
              <w:t>1.2.2</w:t>
            </w:r>
          </w:p>
          <w:p w14:paraId="0A028652" w14:textId="0BD5D4DD"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59F8B484" w14:textId="76BFDC58" w:rsidR="00D22681" w:rsidRPr="00B27719" w:rsidRDefault="00D22681" w:rsidP="00D22681">
            <w:pPr>
              <w:spacing w:line="240" w:lineRule="auto"/>
              <w:contextualSpacing w:val="0"/>
              <w:rPr>
                <w:sz w:val="24"/>
                <w:szCs w:val="24"/>
              </w:rPr>
            </w:pPr>
            <w:r w:rsidRPr="00B27719">
              <w:rPr>
                <w:rFonts w:eastAsia="Verdana"/>
                <w:sz w:val="24"/>
                <w:szCs w:val="24"/>
              </w:rPr>
              <w:t>the clause headings are included for convenience only and shall not affect the interpretation of the Agreement;</w:t>
            </w:r>
          </w:p>
        </w:tc>
      </w:tr>
      <w:tr w:rsidR="00D22681" w:rsidRPr="00B27719" w14:paraId="7FB4C4CD" w14:textId="77777777">
        <w:trPr>
          <w:jc w:val="center"/>
        </w:trPr>
        <w:tc>
          <w:tcPr>
            <w:tcW w:w="1155" w:type="dxa"/>
            <w:tcMar>
              <w:top w:w="100" w:type="dxa"/>
              <w:left w:w="100" w:type="dxa"/>
              <w:bottom w:w="100" w:type="dxa"/>
              <w:right w:w="100" w:type="dxa"/>
            </w:tcMar>
          </w:tcPr>
          <w:p w14:paraId="5A6E55EB" w14:textId="5D19F1E8" w:rsidR="00D22681" w:rsidRPr="00B27719" w:rsidRDefault="00D22681">
            <w:pPr>
              <w:spacing w:line="240" w:lineRule="auto"/>
              <w:contextualSpacing w:val="0"/>
              <w:rPr>
                <w:sz w:val="24"/>
                <w:szCs w:val="24"/>
              </w:rPr>
            </w:pPr>
            <w:r w:rsidRPr="00B27719">
              <w:rPr>
                <w:rFonts w:eastAsia="Verdana"/>
                <w:sz w:val="24"/>
                <w:szCs w:val="24"/>
              </w:rPr>
              <w:t>1.2.3</w:t>
            </w:r>
          </w:p>
        </w:tc>
        <w:tc>
          <w:tcPr>
            <w:tcW w:w="8175" w:type="dxa"/>
            <w:tcMar>
              <w:top w:w="100" w:type="dxa"/>
              <w:left w:w="100" w:type="dxa"/>
              <w:bottom w:w="100" w:type="dxa"/>
              <w:right w:w="100" w:type="dxa"/>
            </w:tcMar>
          </w:tcPr>
          <w:p w14:paraId="55E2FA9A" w14:textId="1B623E58" w:rsidR="00D22681" w:rsidRPr="00B27719" w:rsidRDefault="00D22681">
            <w:pPr>
              <w:spacing w:line="240" w:lineRule="auto"/>
              <w:contextualSpacing w:val="0"/>
              <w:rPr>
                <w:sz w:val="24"/>
                <w:szCs w:val="24"/>
              </w:rPr>
            </w:pPr>
            <w:r w:rsidRPr="00B27719">
              <w:rPr>
                <w:rFonts w:eastAsia="Verdana"/>
                <w:sz w:val="24"/>
                <w:szCs w:val="24"/>
              </w:rPr>
              <w:t>use of the singular includes the plural and vice versa;</w:t>
            </w:r>
          </w:p>
        </w:tc>
      </w:tr>
      <w:tr w:rsidR="00D22681" w:rsidRPr="00B27719" w14:paraId="0CC934BF" w14:textId="77777777">
        <w:trPr>
          <w:jc w:val="center"/>
        </w:trPr>
        <w:tc>
          <w:tcPr>
            <w:tcW w:w="1155" w:type="dxa"/>
            <w:tcMar>
              <w:top w:w="100" w:type="dxa"/>
              <w:left w:w="100" w:type="dxa"/>
              <w:bottom w:w="100" w:type="dxa"/>
              <w:right w:w="100" w:type="dxa"/>
            </w:tcMar>
          </w:tcPr>
          <w:p w14:paraId="6CBB3D70" w14:textId="22FE6853" w:rsidR="00D22681" w:rsidRPr="00B27719" w:rsidRDefault="00D22681">
            <w:pPr>
              <w:spacing w:line="240" w:lineRule="auto"/>
              <w:contextualSpacing w:val="0"/>
              <w:rPr>
                <w:sz w:val="24"/>
                <w:szCs w:val="24"/>
              </w:rPr>
            </w:pPr>
            <w:r w:rsidRPr="00B27719">
              <w:rPr>
                <w:rFonts w:eastAsia="Verdana"/>
                <w:sz w:val="24"/>
                <w:szCs w:val="24"/>
              </w:rPr>
              <w:t>1.2.4</w:t>
            </w:r>
          </w:p>
        </w:tc>
        <w:tc>
          <w:tcPr>
            <w:tcW w:w="8175" w:type="dxa"/>
            <w:tcMar>
              <w:top w:w="100" w:type="dxa"/>
              <w:left w:w="100" w:type="dxa"/>
              <w:bottom w:w="100" w:type="dxa"/>
              <w:right w:w="100" w:type="dxa"/>
            </w:tcMar>
          </w:tcPr>
          <w:p w14:paraId="2E36F106" w14:textId="135C4D06" w:rsidR="00D22681" w:rsidRPr="00B27719" w:rsidRDefault="00D22681">
            <w:pPr>
              <w:spacing w:line="240" w:lineRule="auto"/>
              <w:contextualSpacing w:val="0"/>
              <w:rPr>
                <w:sz w:val="24"/>
                <w:szCs w:val="24"/>
              </w:rPr>
            </w:pPr>
            <w:r w:rsidRPr="00B27719">
              <w:rPr>
                <w:rFonts w:eastAsia="Verdana"/>
                <w:sz w:val="24"/>
                <w:szCs w:val="24"/>
              </w:rPr>
              <w:t>a reference to a statute or statutory provision is a reference to that statute or statutory provision and to all orders, regulations, instruments or other subordinate legislation made under the relevant statute as amended and in force from time to time and to any legislation which re-enacts or consolidates (with or without modification) any such statute or statutory provision;</w:t>
            </w:r>
          </w:p>
        </w:tc>
      </w:tr>
      <w:tr w:rsidR="00D22681" w:rsidRPr="00B27719" w14:paraId="054140F3" w14:textId="77777777">
        <w:trPr>
          <w:jc w:val="center"/>
        </w:trPr>
        <w:tc>
          <w:tcPr>
            <w:tcW w:w="1155" w:type="dxa"/>
            <w:tcMar>
              <w:top w:w="100" w:type="dxa"/>
              <w:left w:w="100" w:type="dxa"/>
              <w:bottom w:w="100" w:type="dxa"/>
              <w:right w:w="100" w:type="dxa"/>
            </w:tcMar>
          </w:tcPr>
          <w:p w14:paraId="1DF93464" w14:textId="4248A43C" w:rsidR="00D22681" w:rsidRPr="00B27719" w:rsidRDefault="00D22681">
            <w:pPr>
              <w:spacing w:line="240" w:lineRule="auto"/>
              <w:contextualSpacing w:val="0"/>
              <w:rPr>
                <w:sz w:val="24"/>
                <w:szCs w:val="24"/>
              </w:rPr>
            </w:pPr>
            <w:r w:rsidRPr="00B27719">
              <w:rPr>
                <w:rFonts w:eastAsia="Verdana"/>
                <w:sz w:val="24"/>
                <w:szCs w:val="24"/>
              </w:rPr>
              <w:t>1.2.5</w:t>
            </w:r>
          </w:p>
        </w:tc>
        <w:tc>
          <w:tcPr>
            <w:tcW w:w="8175" w:type="dxa"/>
            <w:tcMar>
              <w:top w:w="100" w:type="dxa"/>
              <w:left w:w="100" w:type="dxa"/>
              <w:bottom w:w="100" w:type="dxa"/>
              <w:right w:w="100" w:type="dxa"/>
            </w:tcMar>
          </w:tcPr>
          <w:p w14:paraId="46389F3A" w14:textId="365AB210" w:rsidR="00D22681" w:rsidRPr="00B27719" w:rsidRDefault="00D22681">
            <w:pPr>
              <w:spacing w:line="240" w:lineRule="auto"/>
              <w:contextualSpacing w:val="0"/>
              <w:rPr>
                <w:sz w:val="24"/>
                <w:szCs w:val="24"/>
              </w:rPr>
            </w:pPr>
            <w:r w:rsidRPr="00B27719">
              <w:rPr>
                <w:rFonts w:eastAsia="Verdana"/>
                <w:sz w:val="24"/>
                <w:szCs w:val="24"/>
              </w:rPr>
              <w:t>any phrase introduced by the terms “including”, “include”, “in particular” or any similar expressions shall be construed as illustrative and shall not limit the sense of the words preceding those terms.</w:t>
            </w:r>
          </w:p>
        </w:tc>
      </w:tr>
      <w:tr w:rsidR="00D22681" w:rsidRPr="00B27719" w14:paraId="3FEC1E16" w14:textId="77777777">
        <w:trPr>
          <w:jc w:val="center"/>
        </w:trPr>
        <w:tc>
          <w:tcPr>
            <w:tcW w:w="1155" w:type="dxa"/>
            <w:tcMar>
              <w:top w:w="100" w:type="dxa"/>
              <w:left w:w="100" w:type="dxa"/>
              <w:bottom w:w="100" w:type="dxa"/>
              <w:right w:w="100" w:type="dxa"/>
            </w:tcMar>
          </w:tcPr>
          <w:p w14:paraId="22398DE5" w14:textId="77777777" w:rsidR="00D22681" w:rsidRPr="00B27719" w:rsidRDefault="00D22681">
            <w:pPr>
              <w:spacing w:line="240" w:lineRule="auto"/>
              <w:contextualSpacing w:val="0"/>
              <w:rPr>
                <w:sz w:val="24"/>
                <w:szCs w:val="24"/>
              </w:rPr>
            </w:pPr>
            <w:r w:rsidRPr="00B27719">
              <w:rPr>
                <w:rFonts w:eastAsia="Verdana"/>
                <w:b/>
                <w:sz w:val="24"/>
                <w:szCs w:val="24"/>
              </w:rPr>
              <w:t>2</w:t>
            </w:r>
          </w:p>
          <w:p w14:paraId="33656BB1" w14:textId="506DE00F"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5DCA9612" w14:textId="095A29E9" w:rsidR="00D22681" w:rsidRPr="00B27719" w:rsidRDefault="00D22681">
            <w:pPr>
              <w:spacing w:line="240" w:lineRule="auto"/>
              <w:contextualSpacing w:val="0"/>
              <w:rPr>
                <w:sz w:val="24"/>
                <w:szCs w:val="24"/>
              </w:rPr>
            </w:pPr>
            <w:r w:rsidRPr="00B27719">
              <w:rPr>
                <w:rFonts w:eastAsia="Verdana"/>
                <w:b/>
                <w:sz w:val="24"/>
                <w:szCs w:val="24"/>
              </w:rPr>
              <w:t>GRANT OF LICENCE</w:t>
            </w:r>
            <w:r w:rsidRPr="00B27719">
              <w:rPr>
                <w:rFonts w:eastAsia="Verdana"/>
                <w:sz w:val="24"/>
                <w:szCs w:val="24"/>
              </w:rPr>
              <w:t>:</w:t>
            </w:r>
          </w:p>
        </w:tc>
      </w:tr>
      <w:tr w:rsidR="00D22681" w:rsidRPr="00B27719" w14:paraId="7B3E9CD2" w14:textId="77777777">
        <w:trPr>
          <w:jc w:val="center"/>
        </w:trPr>
        <w:tc>
          <w:tcPr>
            <w:tcW w:w="1155" w:type="dxa"/>
            <w:tcMar>
              <w:top w:w="100" w:type="dxa"/>
              <w:left w:w="100" w:type="dxa"/>
              <w:bottom w:w="100" w:type="dxa"/>
              <w:right w:w="100" w:type="dxa"/>
            </w:tcMar>
          </w:tcPr>
          <w:p w14:paraId="0E147497" w14:textId="77777777" w:rsidR="00D22681" w:rsidRPr="00B27719" w:rsidRDefault="00D22681">
            <w:pPr>
              <w:spacing w:line="240" w:lineRule="auto"/>
              <w:contextualSpacing w:val="0"/>
              <w:rPr>
                <w:sz w:val="24"/>
                <w:szCs w:val="24"/>
              </w:rPr>
            </w:pPr>
            <w:r w:rsidRPr="00B27719">
              <w:rPr>
                <w:rFonts w:eastAsia="Verdana"/>
                <w:sz w:val="24"/>
                <w:szCs w:val="24"/>
              </w:rPr>
              <w:t>2.1</w:t>
            </w:r>
          </w:p>
          <w:p w14:paraId="604AFAE5" w14:textId="630691CE"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37881947" w14:textId="68B86AF2" w:rsidR="00D22681" w:rsidRPr="00B27719" w:rsidRDefault="00D22681">
            <w:pPr>
              <w:spacing w:line="240" w:lineRule="auto"/>
              <w:contextualSpacing w:val="0"/>
              <w:rPr>
                <w:sz w:val="24"/>
                <w:szCs w:val="24"/>
              </w:rPr>
            </w:pPr>
            <w:r w:rsidRPr="00B27719">
              <w:rPr>
                <w:rFonts w:eastAsia="Verdana"/>
                <w:sz w:val="24"/>
                <w:szCs w:val="24"/>
              </w:rPr>
              <w:t xml:space="preserve">Pearson hereby grants to Institution a non-exclusive, non-transferable licence to use but not modify the Pearson IP (which includes the Pearson Qualification Title) in England, Wales and Northern Ireland solely in order to deliver the Programme(s) and Higher National Qualification(s) which are validated, operated, quality assured and awarded by Institution in accordance with the terms of this Agreement.  </w:t>
            </w:r>
          </w:p>
        </w:tc>
      </w:tr>
      <w:tr w:rsidR="00D22681" w:rsidRPr="00B27719" w14:paraId="22A87113" w14:textId="77777777">
        <w:trPr>
          <w:jc w:val="center"/>
        </w:trPr>
        <w:tc>
          <w:tcPr>
            <w:tcW w:w="1155" w:type="dxa"/>
            <w:tcMar>
              <w:top w:w="100" w:type="dxa"/>
              <w:left w:w="100" w:type="dxa"/>
              <w:bottom w:w="100" w:type="dxa"/>
              <w:right w:w="100" w:type="dxa"/>
            </w:tcMar>
          </w:tcPr>
          <w:p w14:paraId="727D8959" w14:textId="05EBB855" w:rsidR="00D22681" w:rsidRPr="00B27719" w:rsidRDefault="00D22681">
            <w:pPr>
              <w:spacing w:line="240" w:lineRule="auto"/>
              <w:contextualSpacing w:val="0"/>
              <w:rPr>
                <w:sz w:val="24"/>
                <w:szCs w:val="24"/>
              </w:rPr>
            </w:pPr>
            <w:r w:rsidRPr="00B27719">
              <w:rPr>
                <w:rFonts w:eastAsia="Verdana"/>
                <w:sz w:val="24"/>
                <w:szCs w:val="24"/>
              </w:rPr>
              <w:t>2.2</w:t>
            </w:r>
          </w:p>
        </w:tc>
        <w:tc>
          <w:tcPr>
            <w:tcW w:w="8175" w:type="dxa"/>
            <w:tcMar>
              <w:top w:w="100" w:type="dxa"/>
              <w:left w:w="100" w:type="dxa"/>
              <w:bottom w:w="100" w:type="dxa"/>
              <w:right w:w="100" w:type="dxa"/>
            </w:tcMar>
          </w:tcPr>
          <w:p w14:paraId="550B0415" w14:textId="30FD248C" w:rsidR="00D22681" w:rsidRPr="00B27719" w:rsidRDefault="00D22681">
            <w:pPr>
              <w:spacing w:line="240" w:lineRule="auto"/>
              <w:contextualSpacing w:val="0"/>
              <w:rPr>
                <w:sz w:val="24"/>
                <w:szCs w:val="24"/>
              </w:rPr>
            </w:pPr>
            <w:r w:rsidRPr="00B27719">
              <w:rPr>
                <w:rFonts w:eastAsia="Verdana"/>
                <w:sz w:val="24"/>
                <w:szCs w:val="24"/>
              </w:rPr>
              <w:t xml:space="preserve">Institution may allow collaborative partners which it appoints in accordance with clause 6 to deliver the Programme(s) and Higher National Qualification(s) but may not otherwise re-sell, sub-license or make any other use of the Pearson IP.  </w:t>
            </w:r>
          </w:p>
        </w:tc>
      </w:tr>
      <w:tr w:rsidR="00D22681" w:rsidRPr="00B27719" w14:paraId="0EE29E19" w14:textId="77777777">
        <w:trPr>
          <w:jc w:val="center"/>
        </w:trPr>
        <w:tc>
          <w:tcPr>
            <w:tcW w:w="1155" w:type="dxa"/>
            <w:tcMar>
              <w:top w:w="100" w:type="dxa"/>
              <w:left w:w="100" w:type="dxa"/>
              <w:bottom w:w="100" w:type="dxa"/>
              <w:right w:w="100" w:type="dxa"/>
            </w:tcMar>
          </w:tcPr>
          <w:p w14:paraId="1F119198" w14:textId="77777777"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4934EFDC" w14:textId="09E2B622" w:rsidR="00D22681" w:rsidRPr="00B27719" w:rsidRDefault="00D22681" w:rsidP="00823388">
            <w:pPr>
              <w:spacing w:line="240" w:lineRule="auto"/>
              <w:contextualSpacing w:val="0"/>
              <w:rPr>
                <w:sz w:val="24"/>
                <w:szCs w:val="24"/>
              </w:rPr>
            </w:pPr>
            <w:r w:rsidRPr="00B27719">
              <w:rPr>
                <w:rFonts w:eastAsia="Verdana"/>
                <w:sz w:val="24"/>
                <w:szCs w:val="24"/>
              </w:rPr>
              <w:t>All rights in and to the Pearson Qualification and the Pearson IP not expressly granted to Institution in this Agreement are reserved by Pearson.</w:t>
            </w:r>
          </w:p>
        </w:tc>
      </w:tr>
      <w:tr w:rsidR="00D22681" w:rsidRPr="00B27719" w14:paraId="62933176" w14:textId="77777777">
        <w:trPr>
          <w:jc w:val="center"/>
        </w:trPr>
        <w:tc>
          <w:tcPr>
            <w:tcW w:w="1155" w:type="dxa"/>
            <w:tcMar>
              <w:top w:w="100" w:type="dxa"/>
              <w:left w:w="100" w:type="dxa"/>
              <w:bottom w:w="100" w:type="dxa"/>
              <w:right w:w="100" w:type="dxa"/>
            </w:tcMar>
          </w:tcPr>
          <w:p w14:paraId="26D7D7A9" w14:textId="1B44737B" w:rsidR="00D22681" w:rsidRPr="00B27719" w:rsidRDefault="00D22681">
            <w:pPr>
              <w:spacing w:line="240" w:lineRule="auto"/>
              <w:rPr>
                <w:rFonts w:eastAsia="Verdana"/>
                <w:b/>
                <w:sz w:val="24"/>
                <w:szCs w:val="24"/>
              </w:rPr>
            </w:pPr>
            <w:r w:rsidRPr="00B27719">
              <w:rPr>
                <w:rFonts w:eastAsia="Verdana"/>
                <w:b/>
                <w:sz w:val="24"/>
                <w:szCs w:val="24"/>
              </w:rPr>
              <w:t>3</w:t>
            </w:r>
          </w:p>
        </w:tc>
        <w:tc>
          <w:tcPr>
            <w:tcW w:w="8175" w:type="dxa"/>
            <w:tcMar>
              <w:top w:w="100" w:type="dxa"/>
              <w:left w:w="100" w:type="dxa"/>
              <w:bottom w:w="100" w:type="dxa"/>
              <w:right w:w="100" w:type="dxa"/>
            </w:tcMar>
          </w:tcPr>
          <w:p w14:paraId="5971FF8E" w14:textId="77777777" w:rsidR="00D22681" w:rsidRPr="00B27719" w:rsidRDefault="00D22681">
            <w:pPr>
              <w:spacing w:line="240" w:lineRule="auto"/>
              <w:contextualSpacing w:val="0"/>
              <w:rPr>
                <w:sz w:val="24"/>
                <w:szCs w:val="24"/>
              </w:rPr>
            </w:pPr>
            <w:r w:rsidRPr="00B27719">
              <w:rPr>
                <w:rFonts w:eastAsia="Verdana"/>
                <w:b/>
                <w:sz w:val="24"/>
                <w:szCs w:val="24"/>
              </w:rPr>
              <w:t>COMMENCEMENT AND DURATION</w:t>
            </w:r>
            <w:r w:rsidRPr="00B27719">
              <w:rPr>
                <w:rFonts w:eastAsia="Verdana"/>
                <w:sz w:val="24"/>
                <w:szCs w:val="24"/>
              </w:rPr>
              <w:t>:</w:t>
            </w:r>
          </w:p>
          <w:p w14:paraId="4179392C" w14:textId="3B045012" w:rsidR="00D22681" w:rsidRPr="00B27719" w:rsidRDefault="00D22681" w:rsidP="003B151B">
            <w:pPr>
              <w:spacing w:line="240" w:lineRule="auto"/>
              <w:rPr>
                <w:rFonts w:eastAsia="Verdana"/>
                <w:sz w:val="24"/>
                <w:szCs w:val="24"/>
              </w:rPr>
            </w:pPr>
          </w:p>
        </w:tc>
      </w:tr>
      <w:tr w:rsidR="00D22681" w:rsidRPr="00B27719" w14:paraId="130C82F9" w14:textId="77777777">
        <w:trPr>
          <w:jc w:val="center"/>
        </w:trPr>
        <w:tc>
          <w:tcPr>
            <w:tcW w:w="1155" w:type="dxa"/>
            <w:tcMar>
              <w:top w:w="100" w:type="dxa"/>
              <w:left w:w="100" w:type="dxa"/>
              <w:bottom w:w="100" w:type="dxa"/>
              <w:right w:w="100" w:type="dxa"/>
            </w:tcMar>
          </w:tcPr>
          <w:p w14:paraId="715E8DA5" w14:textId="55B71D2C" w:rsidR="00D22681" w:rsidRPr="00B27719" w:rsidRDefault="00D22681">
            <w:pPr>
              <w:spacing w:line="240" w:lineRule="auto"/>
              <w:rPr>
                <w:rFonts w:eastAsia="Verdana"/>
                <w:sz w:val="24"/>
                <w:szCs w:val="24"/>
              </w:rPr>
            </w:pPr>
            <w:r w:rsidRPr="00B27719">
              <w:rPr>
                <w:rFonts w:eastAsia="Verdana"/>
                <w:sz w:val="24"/>
                <w:szCs w:val="24"/>
              </w:rPr>
              <w:lastRenderedPageBreak/>
              <w:t>3.1</w:t>
            </w:r>
          </w:p>
        </w:tc>
        <w:tc>
          <w:tcPr>
            <w:tcW w:w="8175" w:type="dxa"/>
            <w:tcMar>
              <w:top w:w="100" w:type="dxa"/>
              <w:left w:w="100" w:type="dxa"/>
              <w:bottom w:w="100" w:type="dxa"/>
              <w:right w:w="100" w:type="dxa"/>
            </w:tcMar>
          </w:tcPr>
          <w:p w14:paraId="536CE14F" w14:textId="2ED69C9F" w:rsidR="00D22681" w:rsidRPr="00B27719" w:rsidRDefault="00D22681">
            <w:pPr>
              <w:spacing w:line="240" w:lineRule="auto"/>
              <w:rPr>
                <w:rFonts w:eastAsia="Verdana"/>
                <w:sz w:val="24"/>
                <w:szCs w:val="24"/>
              </w:rPr>
            </w:pPr>
            <w:r w:rsidRPr="00B27719">
              <w:rPr>
                <w:rFonts w:eastAsia="Verdana"/>
                <w:sz w:val="24"/>
                <w:szCs w:val="24"/>
              </w:rPr>
              <w:t xml:space="preserve">The parties agree to enter into this Agreement from the date of execution until termination in accordance with clause 10. </w:t>
            </w:r>
          </w:p>
        </w:tc>
      </w:tr>
      <w:tr w:rsidR="00D22681" w:rsidRPr="00B27719" w14:paraId="51374684" w14:textId="77777777">
        <w:trPr>
          <w:jc w:val="center"/>
        </w:trPr>
        <w:tc>
          <w:tcPr>
            <w:tcW w:w="1155" w:type="dxa"/>
            <w:tcMar>
              <w:top w:w="100" w:type="dxa"/>
              <w:left w:w="100" w:type="dxa"/>
              <w:bottom w:w="100" w:type="dxa"/>
              <w:right w:w="100" w:type="dxa"/>
            </w:tcMar>
          </w:tcPr>
          <w:p w14:paraId="1970D2B2" w14:textId="3F95DBF6" w:rsidR="00D22681" w:rsidRPr="00B27719" w:rsidRDefault="00D22681">
            <w:pPr>
              <w:spacing w:line="240" w:lineRule="auto"/>
              <w:contextualSpacing w:val="0"/>
              <w:rPr>
                <w:sz w:val="24"/>
                <w:szCs w:val="24"/>
              </w:rPr>
            </w:pPr>
            <w:r w:rsidRPr="00B27719">
              <w:rPr>
                <w:rFonts w:eastAsia="Verdana"/>
                <w:sz w:val="24"/>
                <w:szCs w:val="24"/>
              </w:rPr>
              <w:t>3.2</w:t>
            </w:r>
          </w:p>
          <w:p w14:paraId="3A107862" w14:textId="7A1A9922" w:rsidR="00D22681" w:rsidRPr="00B27719" w:rsidRDefault="00D22681">
            <w:pPr>
              <w:spacing w:line="240" w:lineRule="auto"/>
              <w:rPr>
                <w:rFonts w:eastAsia="Verdana"/>
                <w:sz w:val="24"/>
                <w:szCs w:val="24"/>
              </w:rPr>
            </w:pPr>
          </w:p>
        </w:tc>
        <w:tc>
          <w:tcPr>
            <w:tcW w:w="8175" w:type="dxa"/>
            <w:tcMar>
              <w:top w:w="100" w:type="dxa"/>
              <w:left w:w="100" w:type="dxa"/>
              <w:bottom w:w="100" w:type="dxa"/>
              <w:right w:w="100" w:type="dxa"/>
            </w:tcMar>
          </w:tcPr>
          <w:p w14:paraId="24E71C59" w14:textId="7A43478A" w:rsidR="00D22681" w:rsidRPr="00B27719" w:rsidRDefault="00D22681">
            <w:pPr>
              <w:spacing w:line="240" w:lineRule="auto"/>
              <w:rPr>
                <w:rFonts w:eastAsia="Verdana"/>
                <w:sz w:val="24"/>
                <w:szCs w:val="24"/>
              </w:rPr>
            </w:pPr>
            <w:r w:rsidRPr="00B27719">
              <w:rPr>
                <w:rFonts w:eastAsia="Verdana"/>
                <w:sz w:val="24"/>
                <w:szCs w:val="24"/>
              </w:rPr>
              <w:t>Institution shall re-submit Schedules 1 and 2 to Pearson annually for approval prior to the start of the academic year.  If approval for any Higher National Qualification is not given then Institution shall not deliver such Higher National Qualification.</w:t>
            </w:r>
          </w:p>
        </w:tc>
      </w:tr>
      <w:tr w:rsidR="00D22681" w:rsidRPr="00B27719" w14:paraId="4BC311ED" w14:textId="77777777">
        <w:trPr>
          <w:jc w:val="center"/>
        </w:trPr>
        <w:tc>
          <w:tcPr>
            <w:tcW w:w="1155" w:type="dxa"/>
            <w:tcMar>
              <w:top w:w="100" w:type="dxa"/>
              <w:left w:w="100" w:type="dxa"/>
              <w:bottom w:w="100" w:type="dxa"/>
              <w:right w:w="100" w:type="dxa"/>
            </w:tcMar>
          </w:tcPr>
          <w:p w14:paraId="7B61DDDB" w14:textId="4F5BCB4F" w:rsidR="00D22681" w:rsidRPr="00B27719" w:rsidRDefault="00D22681">
            <w:pPr>
              <w:spacing w:line="240" w:lineRule="auto"/>
              <w:rPr>
                <w:rFonts w:eastAsia="Verdana"/>
                <w:sz w:val="24"/>
                <w:szCs w:val="24"/>
              </w:rPr>
            </w:pPr>
            <w:r w:rsidRPr="00B27719">
              <w:rPr>
                <w:rFonts w:eastAsia="Verdana"/>
                <w:sz w:val="24"/>
                <w:szCs w:val="24"/>
              </w:rPr>
              <w:t>3.3</w:t>
            </w:r>
          </w:p>
        </w:tc>
        <w:tc>
          <w:tcPr>
            <w:tcW w:w="8175" w:type="dxa"/>
            <w:tcMar>
              <w:top w:w="100" w:type="dxa"/>
              <w:left w:w="100" w:type="dxa"/>
              <w:bottom w:w="100" w:type="dxa"/>
              <w:right w:w="100" w:type="dxa"/>
            </w:tcMar>
          </w:tcPr>
          <w:p w14:paraId="748920FA" w14:textId="1978E937" w:rsidR="00D22681" w:rsidRPr="00B27719" w:rsidRDefault="00D22681" w:rsidP="006E50EC">
            <w:pPr>
              <w:spacing w:line="240" w:lineRule="auto"/>
              <w:rPr>
                <w:rFonts w:eastAsia="Verdana"/>
                <w:sz w:val="24"/>
                <w:szCs w:val="24"/>
              </w:rPr>
            </w:pPr>
            <w:r w:rsidRPr="00B27719">
              <w:rPr>
                <w:sz w:val="24"/>
                <w:szCs w:val="24"/>
                <w:shd w:val="clear" w:color="auto" w:fill="FFFFFF"/>
              </w:rPr>
              <w:t>In the event that students have been offered a place but not completed their Higher National Qualification and approval is not renewed pursuant to clause 3.2, or in the event of the withdrawal or termination of this Agreement for any reason, Institution shall be authorised to teach out the relevant Higher National Qualification to certification, on the condition that no further students are registered by Institution on the Programme or Higher National Qualification concerned. For the avoidance of doubt, this teach out provision applies equally to termination under clause 10.</w:t>
            </w:r>
          </w:p>
        </w:tc>
      </w:tr>
      <w:tr w:rsidR="00D22681" w:rsidRPr="00B27719" w14:paraId="4F3CF722" w14:textId="77777777">
        <w:trPr>
          <w:jc w:val="center"/>
        </w:trPr>
        <w:tc>
          <w:tcPr>
            <w:tcW w:w="1155" w:type="dxa"/>
            <w:tcMar>
              <w:top w:w="100" w:type="dxa"/>
              <w:left w:w="100" w:type="dxa"/>
              <w:bottom w:w="100" w:type="dxa"/>
              <w:right w:w="100" w:type="dxa"/>
            </w:tcMar>
          </w:tcPr>
          <w:p w14:paraId="20838C05" w14:textId="25A0D904" w:rsidR="00D22681" w:rsidRPr="00B27719" w:rsidRDefault="00D22681">
            <w:pPr>
              <w:spacing w:line="240" w:lineRule="auto"/>
              <w:contextualSpacing w:val="0"/>
              <w:rPr>
                <w:b/>
                <w:sz w:val="24"/>
                <w:szCs w:val="24"/>
              </w:rPr>
            </w:pPr>
            <w:r w:rsidRPr="00B27719">
              <w:rPr>
                <w:rFonts w:eastAsia="Verdana"/>
                <w:b/>
                <w:sz w:val="24"/>
                <w:szCs w:val="24"/>
              </w:rPr>
              <w:t>4</w:t>
            </w:r>
          </w:p>
        </w:tc>
        <w:tc>
          <w:tcPr>
            <w:tcW w:w="8175" w:type="dxa"/>
            <w:tcMar>
              <w:top w:w="100" w:type="dxa"/>
              <w:left w:w="100" w:type="dxa"/>
              <w:bottom w:w="100" w:type="dxa"/>
              <w:right w:w="100" w:type="dxa"/>
            </w:tcMar>
          </w:tcPr>
          <w:p w14:paraId="082D5C5C" w14:textId="2B792C64" w:rsidR="00D22681" w:rsidRPr="00B27719" w:rsidRDefault="00D22681">
            <w:pPr>
              <w:spacing w:line="240" w:lineRule="auto"/>
              <w:contextualSpacing w:val="0"/>
              <w:rPr>
                <w:sz w:val="24"/>
                <w:szCs w:val="24"/>
              </w:rPr>
            </w:pPr>
            <w:r w:rsidRPr="00B27719">
              <w:rPr>
                <w:rFonts w:eastAsia="Verdana"/>
                <w:b/>
                <w:sz w:val="24"/>
                <w:szCs w:val="24"/>
              </w:rPr>
              <w:t>DEELOPMENT AND QUALITY ASSURANCE</w:t>
            </w:r>
            <w:r w:rsidRPr="00B27719">
              <w:rPr>
                <w:rFonts w:eastAsia="Verdana"/>
                <w:sz w:val="24"/>
                <w:szCs w:val="24"/>
              </w:rPr>
              <w:t>:</w:t>
            </w:r>
          </w:p>
        </w:tc>
      </w:tr>
      <w:tr w:rsidR="00D22681" w:rsidRPr="00B27719" w14:paraId="2886FEB2" w14:textId="77777777">
        <w:trPr>
          <w:jc w:val="center"/>
        </w:trPr>
        <w:tc>
          <w:tcPr>
            <w:tcW w:w="1155" w:type="dxa"/>
            <w:tcMar>
              <w:top w:w="100" w:type="dxa"/>
              <w:left w:w="100" w:type="dxa"/>
              <w:bottom w:w="100" w:type="dxa"/>
              <w:right w:w="100" w:type="dxa"/>
            </w:tcMar>
          </w:tcPr>
          <w:p w14:paraId="4547EF13" w14:textId="11AA82A7" w:rsidR="00D22681" w:rsidRPr="00B27719" w:rsidRDefault="00D22681">
            <w:pPr>
              <w:spacing w:line="240" w:lineRule="auto"/>
              <w:contextualSpacing w:val="0"/>
              <w:rPr>
                <w:sz w:val="24"/>
                <w:szCs w:val="24"/>
              </w:rPr>
            </w:pPr>
            <w:r w:rsidRPr="00B27719">
              <w:rPr>
                <w:rFonts w:eastAsia="Verdana"/>
                <w:sz w:val="24"/>
                <w:szCs w:val="24"/>
              </w:rPr>
              <w:t>4.1</w:t>
            </w:r>
          </w:p>
          <w:p w14:paraId="70E1B8A7" w14:textId="011CB492"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00BED6DE" w14:textId="77777777" w:rsidR="00D22681" w:rsidRPr="00B27719" w:rsidRDefault="00D22681" w:rsidP="008C0172">
            <w:pPr>
              <w:spacing w:line="240" w:lineRule="auto"/>
              <w:contextualSpacing w:val="0"/>
              <w:rPr>
                <w:sz w:val="24"/>
                <w:szCs w:val="24"/>
              </w:rPr>
            </w:pPr>
            <w:r w:rsidRPr="00B27719">
              <w:rPr>
                <w:sz w:val="24"/>
                <w:szCs w:val="24"/>
              </w:rPr>
              <w:t>Institution will ensure that the Programme and Higher National Qualification use:</w:t>
            </w:r>
            <w:r w:rsidRPr="00B27719">
              <w:rPr>
                <w:sz w:val="24"/>
                <w:szCs w:val="24"/>
              </w:rPr>
              <w:br/>
              <w:t>a) the Pearson Qualification Title;</w:t>
            </w:r>
            <w:r w:rsidRPr="00B27719">
              <w:rPr>
                <w:sz w:val="24"/>
                <w:szCs w:val="24"/>
              </w:rPr>
              <w:br/>
              <w:t>b) all the unit titles from the Pearson Qualification;</w:t>
            </w:r>
            <w:r w:rsidRPr="00B27719">
              <w:rPr>
                <w:sz w:val="24"/>
                <w:szCs w:val="24"/>
              </w:rPr>
              <w:br/>
              <w:t>c) the Pearson Qualification learning outcomes;</w:t>
            </w:r>
          </w:p>
          <w:p w14:paraId="3445B3BA" w14:textId="77777777" w:rsidR="00D22681" w:rsidRPr="00B27719" w:rsidRDefault="00D22681" w:rsidP="008C0172">
            <w:pPr>
              <w:spacing w:line="240" w:lineRule="auto"/>
              <w:rPr>
                <w:sz w:val="24"/>
                <w:szCs w:val="24"/>
              </w:rPr>
            </w:pPr>
            <w:r w:rsidRPr="00B27719">
              <w:rPr>
                <w:sz w:val="24"/>
                <w:szCs w:val="24"/>
              </w:rPr>
              <w:t>d) the Pearson Qualification assessment criteria;</w:t>
            </w:r>
          </w:p>
          <w:p w14:paraId="1E75CEB0" w14:textId="710CBF6F" w:rsidR="00D22681" w:rsidRPr="00B27719" w:rsidRDefault="00D22681" w:rsidP="00CC5CBD">
            <w:pPr>
              <w:spacing w:line="240" w:lineRule="auto"/>
              <w:contextualSpacing w:val="0"/>
              <w:rPr>
                <w:sz w:val="24"/>
                <w:szCs w:val="24"/>
              </w:rPr>
            </w:pPr>
            <w:r w:rsidRPr="00B27719">
              <w:rPr>
                <w:sz w:val="24"/>
                <w:szCs w:val="24"/>
              </w:rPr>
              <w:t>e) the Pearson Qualification rules of combination.</w:t>
            </w:r>
          </w:p>
        </w:tc>
      </w:tr>
      <w:tr w:rsidR="00D22681" w:rsidRPr="00B27719" w14:paraId="602C045A" w14:textId="77777777">
        <w:trPr>
          <w:jc w:val="center"/>
        </w:trPr>
        <w:tc>
          <w:tcPr>
            <w:tcW w:w="1155" w:type="dxa"/>
            <w:tcMar>
              <w:top w:w="100" w:type="dxa"/>
              <w:left w:w="100" w:type="dxa"/>
              <w:bottom w:w="100" w:type="dxa"/>
              <w:right w:w="100" w:type="dxa"/>
            </w:tcMar>
          </w:tcPr>
          <w:p w14:paraId="77C85D98" w14:textId="4F0D21DD" w:rsidR="00D22681" w:rsidRPr="00B27719" w:rsidRDefault="00D22681">
            <w:pPr>
              <w:spacing w:line="240" w:lineRule="auto"/>
              <w:contextualSpacing w:val="0"/>
              <w:rPr>
                <w:sz w:val="24"/>
                <w:szCs w:val="24"/>
              </w:rPr>
            </w:pPr>
            <w:r w:rsidRPr="00B27719">
              <w:rPr>
                <w:rFonts w:eastAsia="Verdana"/>
                <w:sz w:val="24"/>
                <w:szCs w:val="24"/>
              </w:rPr>
              <w:t>4.2</w:t>
            </w:r>
          </w:p>
          <w:p w14:paraId="365F5345" w14:textId="51B088D8" w:rsidR="00D22681" w:rsidRPr="00B27719" w:rsidRDefault="00D22681">
            <w:pPr>
              <w:spacing w:line="240" w:lineRule="auto"/>
              <w:rPr>
                <w:rFonts w:eastAsia="Verdana"/>
                <w:sz w:val="24"/>
                <w:szCs w:val="24"/>
              </w:rPr>
            </w:pPr>
          </w:p>
        </w:tc>
        <w:tc>
          <w:tcPr>
            <w:tcW w:w="8175" w:type="dxa"/>
            <w:tcMar>
              <w:top w:w="100" w:type="dxa"/>
              <w:left w:w="100" w:type="dxa"/>
              <w:bottom w:w="100" w:type="dxa"/>
              <w:right w:w="100" w:type="dxa"/>
            </w:tcMar>
          </w:tcPr>
          <w:p w14:paraId="020A4CAC" w14:textId="5CBB7FEF" w:rsidR="00D22681" w:rsidRPr="00B27719" w:rsidRDefault="00D22681" w:rsidP="00680AB2">
            <w:pPr>
              <w:spacing w:line="240" w:lineRule="auto"/>
              <w:rPr>
                <w:rFonts w:eastAsia="Verdana"/>
                <w:sz w:val="24"/>
                <w:szCs w:val="24"/>
              </w:rPr>
            </w:pPr>
            <w:r w:rsidRPr="00B27719">
              <w:rPr>
                <w:rFonts w:eastAsia="Verdana"/>
                <w:sz w:val="24"/>
                <w:szCs w:val="24"/>
              </w:rPr>
              <w:t xml:space="preserve">Institution will provide the Higher National Qualifications in accordance with the </w:t>
            </w:r>
            <w:r w:rsidRPr="00B27719">
              <w:rPr>
                <w:rFonts w:eastAsia="Verdana"/>
                <w:i/>
                <w:sz w:val="24"/>
                <w:szCs w:val="24"/>
              </w:rPr>
              <w:t>QAA Framework for Higher Education Qualifications in England, Wales and Northern Ireland</w:t>
            </w:r>
            <w:r w:rsidRPr="00B27719">
              <w:rPr>
                <w:rFonts w:eastAsia="Verdana"/>
                <w:sz w:val="24"/>
                <w:szCs w:val="24"/>
              </w:rPr>
              <w:t>, the UK Quality Code for Higher Education and Pearson guidance.</w:t>
            </w:r>
          </w:p>
        </w:tc>
      </w:tr>
      <w:tr w:rsidR="00D22681" w:rsidRPr="00B27719" w14:paraId="2B117109" w14:textId="77777777">
        <w:trPr>
          <w:jc w:val="center"/>
        </w:trPr>
        <w:tc>
          <w:tcPr>
            <w:tcW w:w="1155" w:type="dxa"/>
            <w:tcMar>
              <w:top w:w="100" w:type="dxa"/>
              <w:left w:w="100" w:type="dxa"/>
              <w:bottom w:w="100" w:type="dxa"/>
              <w:right w:w="100" w:type="dxa"/>
            </w:tcMar>
          </w:tcPr>
          <w:p w14:paraId="50488C0C" w14:textId="45D8FEDD" w:rsidR="00D22681" w:rsidRPr="00B27719" w:rsidRDefault="00D22681">
            <w:pPr>
              <w:spacing w:line="240" w:lineRule="auto"/>
              <w:contextualSpacing w:val="0"/>
              <w:rPr>
                <w:sz w:val="24"/>
                <w:szCs w:val="24"/>
              </w:rPr>
            </w:pPr>
            <w:r w:rsidRPr="00B27719">
              <w:rPr>
                <w:sz w:val="24"/>
                <w:szCs w:val="24"/>
              </w:rPr>
              <w:t>4.3</w:t>
            </w:r>
          </w:p>
        </w:tc>
        <w:tc>
          <w:tcPr>
            <w:tcW w:w="8175" w:type="dxa"/>
            <w:tcMar>
              <w:top w:w="100" w:type="dxa"/>
              <w:left w:w="100" w:type="dxa"/>
              <w:bottom w:w="100" w:type="dxa"/>
              <w:right w:w="100" w:type="dxa"/>
            </w:tcMar>
          </w:tcPr>
          <w:p w14:paraId="0A319442" w14:textId="36CC8D99" w:rsidR="00D22681" w:rsidRPr="00B27719" w:rsidRDefault="00D22681" w:rsidP="00680AB2">
            <w:pPr>
              <w:spacing w:line="240" w:lineRule="auto"/>
              <w:contextualSpacing w:val="0"/>
              <w:rPr>
                <w:sz w:val="24"/>
                <w:szCs w:val="24"/>
              </w:rPr>
            </w:pPr>
            <w:r w:rsidRPr="00B27719">
              <w:rPr>
                <w:rFonts w:eastAsia="Verdana"/>
                <w:sz w:val="24"/>
                <w:szCs w:val="24"/>
              </w:rPr>
              <w:t xml:space="preserve">Institution will select, appoint and remunerate External Examiners for all Higher National Qualifications provided pursuant to this Agreement. The External Examiners will report to the Institution, using the usual procedures required by Institution, in accordance with QAA Expectations on External Examining. </w:t>
            </w:r>
          </w:p>
        </w:tc>
      </w:tr>
      <w:tr w:rsidR="00D22681" w:rsidRPr="00B27719" w14:paraId="42BDEEAC" w14:textId="77777777">
        <w:trPr>
          <w:jc w:val="center"/>
        </w:trPr>
        <w:tc>
          <w:tcPr>
            <w:tcW w:w="1155" w:type="dxa"/>
            <w:tcMar>
              <w:top w:w="100" w:type="dxa"/>
              <w:left w:w="100" w:type="dxa"/>
              <w:bottom w:w="100" w:type="dxa"/>
              <w:right w:w="100" w:type="dxa"/>
            </w:tcMar>
          </w:tcPr>
          <w:p w14:paraId="05BD1F78" w14:textId="5CC768C9" w:rsidR="00D22681" w:rsidRPr="00B27719" w:rsidRDefault="00D22681">
            <w:pPr>
              <w:spacing w:line="240" w:lineRule="auto"/>
              <w:contextualSpacing w:val="0"/>
              <w:rPr>
                <w:sz w:val="24"/>
                <w:szCs w:val="24"/>
              </w:rPr>
            </w:pPr>
            <w:r w:rsidRPr="00B27719">
              <w:rPr>
                <w:rFonts w:eastAsia="Verdana"/>
                <w:sz w:val="24"/>
                <w:szCs w:val="24"/>
              </w:rPr>
              <w:t>4.4</w:t>
            </w:r>
          </w:p>
        </w:tc>
        <w:tc>
          <w:tcPr>
            <w:tcW w:w="8175" w:type="dxa"/>
            <w:tcMar>
              <w:top w:w="100" w:type="dxa"/>
              <w:left w:w="100" w:type="dxa"/>
              <w:bottom w:w="100" w:type="dxa"/>
              <w:right w:w="100" w:type="dxa"/>
            </w:tcMar>
          </w:tcPr>
          <w:p w14:paraId="436CDF43" w14:textId="593750F1" w:rsidR="00D22681" w:rsidRPr="00B27719" w:rsidRDefault="00D22681">
            <w:pPr>
              <w:spacing w:line="240" w:lineRule="auto"/>
              <w:contextualSpacing w:val="0"/>
              <w:rPr>
                <w:sz w:val="24"/>
                <w:szCs w:val="24"/>
              </w:rPr>
            </w:pPr>
            <w:r w:rsidRPr="00B27719">
              <w:rPr>
                <w:rFonts w:eastAsia="Verdana"/>
                <w:sz w:val="24"/>
                <w:szCs w:val="24"/>
              </w:rPr>
              <w:t>Institution will be responsible to Pearson for ensuring the quality and standards of the Higher National Qualifications provided pursuant to this Agreement and for the quality assurance and enhancement of these Programmes</w:t>
            </w:r>
            <w:r w:rsidRPr="00B27719">
              <w:rPr>
                <w:rFonts w:eastAsia="Verdana"/>
                <w:i/>
                <w:sz w:val="24"/>
                <w:szCs w:val="24"/>
              </w:rPr>
              <w:t>.</w:t>
            </w:r>
          </w:p>
        </w:tc>
      </w:tr>
      <w:tr w:rsidR="00D22681" w:rsidRPr="00B27719" w14:paraId="68F5AE26" w14:textId="77777777" w:rsidTr="00823388">
        <w:trPr>
          <w:trHeight w:val="1702"/>
          <w:jc w:val="center"/>
        </w:trPr>
        <w:tc>
          <w:tcPr>
            <w:tcW w:w="1155" w:type="dxa"/>
            <w:tcMar>
              <w:top w:w="100" w:type="dxa"/>
              <w:left w:w="100" w:type="dxa"/>
              <w:bottom w:w="100" w:type="dxa"/>
              <w:right w:w="100" w:type="dxa"/>
            </w:tcMar>
          </w:tcPr>
          <w:p w14:paraId="0B7A1474" w14:textId="02C1ABCC" w:rsidR="00D22681" w:rsidRPr="00B27719" w:rsidRDefault="00D22681" w:rsidP="00823388">
            <w:pPr>
              <w:spacing w:line="240" w:lineRule="auto"/>
              <w:rPr>
                <w:sz w:val="24"/>
                <w:szCs w:val="24"/>
              </w:rPr>
            </w:pPr>
            <w:r w:rsidRPr="00B27719">
              <w:rPr>
                <w:rFonts w:eastAsia="Verdana"/>
                <w:sz w:val="24"/>
                <w:szCs w:val="24"/>
              </w:rPr>
              <w:lastRenderedPageBreak/>
              <w:t>4.5</w:t>
            </w:r>
          </w:p>
        </w:tc>
        <w:tc>
          <w:tcPr>
            <w:tcW w:w="8175" w:type="dxa"/>
            <w:tcMar>
              <w:top w:w="100" w:type="dxa"/>
              <w:left w:w="100" w:type="dxa"/>
              <w:bottom w:w="100" w:type="dxa"/>
              <w:right w:w="100" w:type="dxa"/>
            </w:tcMar>
          </w:tcPr>
          <w:p w14:paraId="7D3803C6" w14:textId="14A66FE4" w:rsidR="00D22681" w:rsidRPr="00B27719" w:rsidRDefault="00D22681" w:rsidP="008C0172">
            <w:pPr>
              <w:spacing w:line="240" w:lineRule="auto"/>
              <w:rPr>
                <w:sz w:val="24"/>
                <w:szCs w:val="24"/>
              </w:rPr>
            </w:pPr>
            <w:r w:rsidRPr="00B27719">
              <w:rPr>
                <w:rFonts w:eastAsia="Verdana"/>
                <w:sz w:val="24"/>
                <w:szCs w:val="24"/>
              </w:rPr>
              <w:t>In order to monitor and maintain the national consistency of Higher National qualifications, Institution will be required by Pearson to submit an annual Institutional Review Report (IRR) to Pearson, covering its Higher National Qualifications. The IRR must be submitted, using a proforma supplied by Pearson, by the end of December following the academic year to which the report refers.</w:t>
            </w:r>
          </w:p>
        </w:tc>
      </w:tr>
      <w:tr w:rsidR="00D22681" w:rsidRPr="00B27719" w14:paraId="388E55B2" w14:textId="77777777" w:rsidTr="00D44C35">
        <w:trPr>
          <w:trHeight w:val="318"/>
          <w:jc w:val="center"/>
        </w:trPr>
        <w:tc>
          <w:tcPr>
            <w:tcW w:w="1155" w:type="dxa"/>
            <w:tcMar>
              <w:top w:w="100" w:type="dxa"/>
              <w:left w:w="100" w:type="dxa"/>
              <w:bottom w:w="100" w:type="dxa"/>
              <w:right w:w="100" w:type="dxa"/>
            </w:tcMar>
          </w:tcPr>
          <w:p w14:paraId="4F7E4CF6" w14:textId="1F568C74" w:rsidR="00D22681" w:rsidRPr="00B27719" w:rsidRDefault="00D22681">
            <w:pPr>
              <w:spacing w:line="240" w:lineRule="auto"/>
              <w:rPr>
                <w:rFonts w:eastAsia="Verdana"/>
                <w:sz w:val="24"/>
                <w:szCs w:val="24"/>
              </w:rPr>
            </w:pPr>
            <w:r w:rsidRPr="00B27719">
              <w:rPr>
                <w:rFonts w:eastAsia="Verdana"/>
                <w:sz w:val="24"/>
                <w:szCs w:val="24"/>
              </w:rPr>
              <w:t>4.6</w:t>
            </w:r>
          </w:p>
        </w:tc>
        <w:tc>
          <w:tcPr>
            <w:tcW w:w="8175" w:type="dxa"/>
            <w:tcMar>
              <w:top w:w="100" w:type="dxa"/>
              <w:left w:w="100" w:type="dxa"/>
              <w:bottom w:w="100" w:type="dxa"/>
              <w:right w:w="100" w:type="dxa"/>
            </w:tcMar>
          </w:tcPr>
          <w:p w14:paraId="3B5B4C63" w14:textId="2FFC6303" w:rsidR="00D22681" w:rsidRPr="00B27719" w:rsidRDefault="00D22681" w:rsidP="00CC5CBD">
            <w:pPr>
              <w:spacing w:line="240" w:lineRule="auto"/>
              <w:rPr>
                <w:sz w:val="24"/>
                <w:szCs w:val="24"/>
              </w:rPr>
            </w:pPr>
            <w:r w:rsidRPr="00B27719">
              <w:rPr>
                <w:rFonts w:eastAsia="Verdana"/>
                <w:sz w:val="24"/>
                <w:szCs w:val="24"/>
              </w:rPr>
              <w:t>Pearson will work with Institution to ensure that any issues of concern are resolved to the satisfaction of both parties within a reasonable time period. In the event of a failure to do so, Pearson may terminate this Agreement in accordance with clause 10 below.</w:t>
            </w:r>
          </w:p>
        </w:tc>
      </w:tr>
      <w:tr w:rsidR="00D22681" w:rsidRPr="00B27719" w14:paraId="60CBDDD0" w14:textId="77777777" w:rsidTr="002666CE">
        <w:trPr>
          <w:trHeight w:val="786"/>
          <w:jc w:val="center"/>
        </w:trPr>
        <w:tc>
          <w:tcPr>
            <w:tcW w:w="1155" w:type="dxa"/>
            <w:tcMar>
              <w:top w:w="100" w:type="dxa"/>
              <w:left w:w="100" w:type="dxa"/>
              <w:bottom w:w="100" w:type="dxa"/>
              <w:right w:w="100" w:type="dxa"/>
            </w:tcMar>
          </w:tcPr>
          <w:p w14:paraId="43498447" w14:textId="650F1790" w:rsidR="00D22681" w:rsidRPr="00B27719" w:rsidRDefault="00D22681">
            <w:pPr>
              <w:spacing w:line="240" w:lineRule="auto"/>
              <w:contextualSpacing w:val="0"/>
              <w:rPr>
                <w:sz w:val="24"/>
                <w:szCs w:val="24"/>
              </w:rPr>
            </w:pPr>
            <w:r w:rsidRPr="00B27719">
              <w:rPr>
                <w:rFonts w:eastAsia="Verdana"/>
                <w:sz w:val="24"/>
                <w:szCs w:val="24"/>
              </w:rPr>
              <w:t>4.7</w:t>
            </w:r>
          </w:p>
          <w:p w14:paraId="4D537E4B" w14:textId="006F2776" w:rsidR="00D22681" w:rsidRPr="00B27719" w:rsidRDefault="00D22681">
            <w:pPr>
              <w:spacing w:line="240" w:lineRule="auto"/>
              <w:rPr>
                <w:rFonts w:eastAsia="Verdana"/>
                <w:sz w:val="24"/>
                <w:szCs w:val="24"/>
              </w:rPr>
            </w:pPr>
          </w:p>
        </w:tc>
        <w:tc>
          <w:tcPr>
            <w:tcW w:w="8175" w:type="dxa"/>
            <w:tcMar>
              <w:top w:w="100" w:type="dxa"/>
              <w:left w:w="100" w:type="dxa"/>
              <w:bottom w:w="100" w:type="dxa"/>
              <w:right w:w="100" w:type="dxa"/>
            </w:tcMar>
          </w:tcPr>
          <w:p w14:paraId="1720CFAD" w14:textId="0F07D78B" w:rsidR="00D22681" w:rsidRPr="00B27719" w:rsidRDefault="00D22681" w:rsidP="003B5E6B">
            <w:pPr>
              <w:spacing w:line="240" w:lineRule="auto"/>
              <w:rPr>
                <w:rFonts w:eastAsia="Verdana"/>
                <w:sz w:val="24"/>
                <w:szCs w:val="24"/>
              </w:rPr>
            </w:pPr>
            <w:r w:rsidRPr="00B27719">
              <w:rPr>
                <w:rFonts w:eastAsia="Verdana"/>
                <w:sz w:val="24"/>
                <w:szCs w:val="24"/>
              </w:rPr>
              <w:t>Pearson will hold regular stakeholder meetings to which it will invite appropriate staff from Institution. Part of the briefing meeting will be used to exchange good practice and to sustain the consistency of the awards. Institution is therefore encouraged to</w:t>
            </w:r>
            <w:r w:rsidRPr="00B27719">
              <w:rPr>
                <w:rFonts w:eastAsia="Verdana"/>
                <w:i/>
                <w:sz w:val="24"/>
                <w:szCs w:val="24"/>
              </w:rPr>
              <w:t xml:space="preserve"> </w:t>
            </w:r>
            <w:r w:rsidRPr="00B27719">
              <w:rPr>
                <w:rFonts w:eastAsia="Verdana"/>
                <w:sz w:val="24"/>
                <w:szCs w:val="24"/>
              </w:rPr>
              <w:t>invite staff (from Institution and its partner colleges) to the stakeholder meetings which will normally be arranged twice yearly.</w:t>
            </w:r>
          </w:p>
        </w:tc>
      </w:tr>
      <w:tr w:rsidR="00D22681" w:rsidRPr="00B27719" w14:paraId="23414C62" w14:textId="77777777">
        <w:trPr>
          <w:jc w:val="center"/>
        </w:trPr>
        <w:tc>
          <w:tcPr>
            <w:tcW w:w="1155" w:type="dxa"/>
            <w:tcMar>
              <w:top w:w="100" w:type="dxa"/>
              <w:left w:w="100" w:type="dxa"/>
              <w:bottom w:w="100" w:type="dxa"/>
              <w:right w:w="100" w:type="dxa"/>
            </w:tcMar>
          </w:tcPr>
          <w:p w14:paraId="2F37A213" w14:textId="6E5BB280" w:rsidR="00D22681" w:rsidRPr="00B27719" w:rsidRDefault="00D22681">
            <w:pPr>
              <w:spacing w:line="240" w:lineRule="auto"/>
              <w:contextualSpacing w:val="0"/>
              <w:rPr>
                <w:sz w:val="24"/>
                <w:szCs w:val="24"/>
              </w:rPr>
            </w:pPr>
            <w:r w:rsidRPr="00B27719">
              <w:rPr>
                <w:rFonts w:eastAsia="Verdana"/>
                <w:sz w:val="24"/>
                <w:szCs w:val="24"/>
              </w:rPr>
              <w:t>4.8</w:t>
            </w:r>
          </w:p>
          <w:p w14:paraId="3426E550" w14:textId="2AC05EBF"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5337EB0E" w14:textId="449D28B5" w:rsidR="00D22681" w:rsidRPr="00B27719" w:rsidRDefault="00D22681" w:rsidP="00823388">
            <w:pPr>
              <w:spacing w:line="240" w:lineRule="auto"/>
              <w:contextualSpacing w:val="0"/>
              <w:rPr>
                <w:sz w:val="24"/>
                <w:szCs w:val="24"/>
              </w:rPr>
            </w:pPr>
            <w:r w:rsidRPr="00B27719">
              <w:rPr>
                <w:rFonts w:eastAsia="Verdana"/>
                <w:sz w:val="24"/>
                <w:szCs w:val="24"/>
              </w:rPr>
              <w:t>Institution is encouraged to hold an annual review meeting to include consideration of Higher National Qualifications, discussion of relevant Pearson developments and of any other matters of report to Pearson. Institution may wish to invite Pearson Quality Assurance colleagues and/or the University Principal Examiner (UPE) to these review meetings.</w:t>
            </w:r>
          </w:p>
        </w:tc>
      </w:tr>
      <w:tr w:rsidR="00D22681" w:rsidRPr="00B27719" w14:paraId="32404AE2" w14:textId="77777777">
        <w:trPr>
          <w:jc w:val="center"/>
        </w:trPr>
        <w:tc>
          <w:tcPr>
            <w:tcW w:w="1155" w:type="dxa"/>
            <w:tcMar>
              <w:top w:w="100" w:type="dxa"/>
              <w:left w:w="100" w:type="dxa"/>
              <w:bottom w:w="100" w:type="dxa"/>
              <w:right w:w="100" w:type="dxa"/>
            </w:tcMar>
          </w:tcPr>
          <w:p w14:paraId="1B1C0C58" w14:textId="609FBF62" w:rsidR="00D22681" w:rsidRPr="00B27719" w:rsidRDefault="00D22681" w:rsidP="0041429D">
            <w:pPr>
              <w:spacing w:line="240" w:lineRule="auto"/>
              <w:contextualSpacing w:val="0"/>
              <w:rPr>
                <w:b/>
                <w:sz w:val="24"/>
                <w:szCs w:val="24"/>
              </w:rPr>
            </w:pPr>
            <w:r w:rsidRPr="00B27719">
              <w:rPr>
                <w:rFonts w:eastAsia="Verdana"/>
                <w:b/>
                <w:sz w:val="24"/>
                <w:szCs w:val="24"/>
              </w:rPr>
              <w:t>5</w:t>
            </w:r>
          </w:p>
        </w:tc>
        <w:tc>
          <w:tcPr>
            <w:tcW w:w="8175" w:type="dxa"/>
            <w:tcMar>
              <w:top w:w="100" w:type="dxa"/>
              <w:left w:w="100" w:type="dxa"/>
              <w:bottom w:w="100" w:type="dxa"/>
              <w:right w:w="100" w:type="dxa"/>
            </w:tcMar>
          </w:tcPr>
          <w:p w14:paraId="3CBCCE3A" w14:textId="6E0B65C4" w:rsidR="00D22681" w:rsidRPr="00B27719" w:rsidRDefault="00D22681">
            <w:pPr>
              <w:spacing w:line="240" w:lineRule="auto"/>
              <w:contextualSpacing w:val="0"/>
              <w:rPr>
                <w:sz w:val="24"/>
                <w:szCs w:val="24"/>
              </w:rPr>
            </w:pPr>
            <w:r w:rsidRPr="00B27719">
              <w:rPr>
                <w:rFonts w:eastAsia="Verdana"/>
                <w:b/>
                <w:sz w:val="24"/>
                <w:szCs w:val="24"/>
              </w:rPr>
              <w:t>PROGRAMME REVIEW</w:t>
            </w:r>
            <w:r w:rsidRPr="00B27719">
              <w:rPr>
                <w:rFonts w:eastAsia="Verdana"/>
                <w:sz w:val="24"/>
                <w:szCs w:val="24"/>
              </w:rPr>
              <w:t>:</w:t>
            </w:r>
          </w:p>
        </w:tc>
      </w:tr>
      <w:tr w:rsidR="00D22681" w:rsidRPr="00B27719" w14:paraId="0C0DF239" w14:textId="77777777">
        <w:trPr>
          <w:jc w:val="center"/>
        </w:trPr>
        <w:tc>
          <w:tcPr>
            <w:tcW w:w="1155" w:type="dxa"/>
            <w:tcMar>
              <w:top w:w="100" w:type="dxa"/>
              <w:left w:w="100" w:type="dxa"/>
              <w:bottom w:w="100" w:type="dxa"/>
              <w:right w:w="100" w:type="dxa"/>
            </w:tcMar>
          </w:tcPr>
          <w:p w14:paraId="07E60CF7" w14:textId="1AE867EB" w:rsidR="00D22681" w:rsidRPr="00B27719" w:rsidRDefault="00D22681">
            <w:pPr>
              <w:spacing w:line="240" w:lineRule="auto"/>
              <w:contextualSpacing w:val="0"/>
              <w:rPr>
                <w:sz w:val="24"/>
                <w:szCs w:val="24"/>
              </w:rPr>
            </w:pPr>
            <w:r w:rsidRPr="00B27719">
              <w:rPr>
                <w:rFonts w:eastAsia="Verdana"/>
                <w:sz w:val="24"/>
                <w:szCs w:val="24"/>
              </w:rPr>
              <w:t>5.1</w:t>
            </w:r>
          </w:p>
        </w:tc>
        <w:tc>
          <w:tcPr>
            <w:tcW w:w="8175" w:type="dxa"/>
            <w:tcMar>
              <w:top w:w="100" w:type="dxa"/>
              <w:left w:w="100" w:type="dxa"/>
              <w:bottom w:w="100" w:type="dxa"/>
              <w:right w:w="100" w:type="dxa"/>
            </w:tcMar>
          </w:tcPr>
          <w:p w14:paraId="5AC9D56F" w14:textId="4AF8ED21" w:rsidR="00D22681" w:rsidRPr="00B27719" w:rsidRDefault="00D22681" w:rsidP="00680AB2">
            <w:pPr>
              <w:spacing w:line="240" w:lineRule="auto"/>
              <w:contextualSpacing w:val="0"/>
              <w:rPr>
                <w:sz w:val="24"/>
                <w:szCs w:val="24"/>
              </w:rPr>
            </w:pPr>
            <w:r w:rsidRPr="00B27719">
              <w:rPr>
                <w:rFonts w:eastAsia="Verdana"/>
                <w:sz w:val="24"/>
                <w:szCs w:val="24"/>
              </w:rPr>
              <w:t>Institution will keep under review its Higher National Qualifications, in accordance with the UK Quality Code for Higher Education Expectations for Programme design, approval, monitoring and review.</w:t>
            </w:r>
          </w:p>
        </w:tc>
      </w:tr>
      <w:tr w:rsidR="00D22681" w:rsidRPr="00B27719" w14:paraId="7C6E2AAC" w14:textId="77777777">
        <w:trPr>
          <w:jc w:val="center"/>
        </w:trPr>
        <w:tc>
          <w:tcPr>
            <w:tcW w:w="1155" w:type="dxa"/>
            <w:tcMar>
              <w:top w:w="100" w:type="dxa"/>
              <w:left w:w="100" w:type="dxa"/>
              <w:bottom w:w="100" w:type="dxa"/>
              <w:right w:w="100" w:type="dxa"/>
            </w:tcMar>
          </w:tcPr>
          <w:p w14:paraId="0AEB994E" w14:textId="7CA8CDF3" w:rsidR="00D22681" w:rsidRPr="00B27719" w:rsidRDefault="00D22681">
            <w:pPr>
              <w:spacing w:line="240" w:lineRule="auto"/>
              <w:contextualSpacing w:val="0"/>
              <w:rPr>
                <w:sz w:val="24"/>
                <w:szCs w:val="24"/>
              </w:rPr>
            </w:pPr>
            <w:r w:rsidRPr="00B27719">
              <w:rPr>
                <w:rFonts w:eastAsia="Verdana"/>
                <w:sz w:val="24"/>
                <w:szCs w:val="24"/>
              </w:rPr>
              <w:t>5.2</w:t>
            </w:r>
          </w:p>
          <w:p w14:paraId="689F7020" w14:textId="4AADDC5C"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479D6666" w14:textId="3C64ECD4" w:rsidR="00D22681" w:rsidRPr="00B27719" w:rsidRDefault="00D22681" w:rsidP="001F4FBD">
            <w:pPr>
              <w:spacing w:line="240" w:lineRule="auto"/>
              <w:contextualSpacing w:val="0"/>
              <w:rPr>
                <w:sz w:val="24"/>
                <w:szCs w:val="24"/>
              </w:rPr>
            </w:pPr>
            <w:r w:rsidRPr="00B27719">
              <w:rPr>
                <w:rFonts w:eastAsia="Verdana"/>
                <w:sz w:val="24"/>
                <w:szCs w:val="24"/>
              </w:rPr>
              <w:t xml:space="preserve">Any Higher Nationals Qualification offered by Institution must comply with published Pearson guidelines. </w:t>
            </w:r>
          </w:p>
        </w:tc>
      </w:tr>
      <w:tr w:rsidR="00D22681" w:rsidRPr="00B27719" w14:paraId="5B36F2EB" w14:textId="77777777">
        <w:trPr>
          <w:jc w:val="center"/>
        </w:trPr>
        <w:tc>
          <w:tcPr>
            <w:tcW w:w="1155" w:type="dxa"/>
            <w:tcMar>
              <w:top w:w="100" w:type="dxa"/>
              <w:left w:w="100" w:type="dxa"/>
              <w:bottom w:w="100" w:type="dxa"/>
              <w:right w:w="100" w:type="dxa"/>
            </w:tcMar>
          </w:tcPr>
          <w:p w14:paraId="06DE5B15" w14:textId="442C7D61" w:rsidR="00D22681" w:rsidRPr="00B27719" w:rsidRDefault="00D22681">
            <w:pPr>
              <w:spacing w:line="240" w:lineRule="auto"/>
              <w:contextualSpacing w:val="0"/>
              <w:rPr>
                <w:sz w:val="24"/>
                <w:szCs w:val="24"/>
              </w:rPr>
            </w:pPr>
            <w:r w:rsidRPr="00B27719">
              <w:rPr>
                <w:rFonts w:eastAsia="Verdana"/>
                <w:sz w:val="24"/>
                <w:szCs w:val="24"/>
              </w:rPr>
              <w:t>5.3</w:t>
            </w:r>
          </w:p>
          <w:p w14:paraId="2967FD99" w14:textId="59929CB3"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518AF71D" w14:textId="3EB5CF7F" w:rsidR="00D22681" w:rsidRPr="00B27719" w:rsidRDefault="00D22681" w:rsidP="00680AB2">
            <w:pPr>
              <w:spacing w:line="240" w:lineRule="auto"/>
              <w:contextualSpacing w:val="0"/>
              <w:rPr>
                <w:sz w:val="24"/>
                <w:szCs w:val="24"/>
              </w:rPr>
            </w:pPr>
            <w:r w:rsidRPr="00B27719">
              <w:rPr>
                <w:rFonts w:eastAsia="Verdana"/>
                <w:sz w:val="24"/>
                <w:szCs w:val="24"/>
              </w:rPr>
              <w:t>Once a Higher National Qualification has been validated by Institution, Institution shall provide Pearson with validation details, in accordance with the UK Quality Code for Higher Education Expectations on Programme design, approval, monitoring and review.</w:t>
            </w:r>
          </w:p>
        </w:tc>
      </w:tr>
      <w:tr w:rsidR="00D22681" w:rsidRPr="00B27719" w14:paraId="782BFB60" w14:textId="77777777" w:rsidTr="00D22681">
        <w:trPr>
          <w:trHeight w:val="993"/>
          <w:jc w:val="center"/>
        </w:trPr>
        <w:tc>
          <w:tcPr>
            <w:tcW w:w="1155" w:type="dxa"/>
            <w:tcMar>
              <w:top w:w="100" w:type="dxa"/>
              <w:left w:w="100" w:type="dxa"/>
              <w:bottom w:w="100" w:type="dxa"/>
              <w:right w:w="100" w:type="dxa"/>
            </w:tcMar>
          </w:tcPr>
          <w:p w14:paraId="661203FA" w14:textId="2792A570" w:rsidR="00D22681" w:rsidRPr="00B27719" w:rsidRDefault="00D22681">
            <w:pPr>
              <w:spacing w:line="240" w:lineRule="auto"/>
              <w:contextualSpacing w:val="0"/>
              <w:jc w:val="both"/>
              <w:rPr>
                <w:sz w:val="24"/>
                <w:szCs w:val="24"/>
              </w:rPr>
            </w:pPr>
            <w:r w:rsidRPr="00B27719">
              <w:rPr>
                <w:rFonts w:eastAsia="Verdana"/>
                <w:sz w:val="24"/>
                <w:szCs w:val="24"/>
              </w:rPr>
              <w:t>5.4</w:t>
            </w:r>
          </w:p>
        </w:tc>
        <w:tc>
          <w:tcPr>
            <w:tcW w:w="8175" w:type="dxa"/>
            <w:tcMar>
              <w:top w:w="100" w:type="dxa"/>
              <w:left w:w="100" w:type="dxa"/>
              <w:bottom w:w="100" w:type="dxa"/>
              <w:right w:w="100" w:type="dxa"/>
            </w:tcMar>
          </w:tcPr>
          <w:p w14:paraId="21E20D7B" w14:textId="3FE18A3C" w:rsidR="00D22681" w:rsidRPr="00B27719" w:rsidRDefault="00D22681" w:rsidP="00D22681">
            <w:pPr>
              <w:spacing w:line="240" w:lineRule="auto"/>
              <w:contextualSpacing w:val="0"/>
              <w:rPr>
                <w:sz w:val="24"/>
                <w:szCs w:val="24"/>
              </w:rPr>
            </w:pPr>
            <w:r w:rsidRPr="00B27719">
              <w:rPr>
                <w:rFonts w:eastAsia="Verdana"/>
                <w:sz w:val="24"/>
                <w:szCs w:val="24"/>
              </w:rPr>
              <w:t xml:space="preserve">Following a review of a Higher National Qualification by Institution, Institution will provide Pearson with validation details, in accordance with the UK Quality Code for Higher Education expectations on Programme design, approval, monitoring and review. </w:t>
            </w:r>
          </w:p>
        </w:tc>
      </w:tr>
      <w:tr w:rsidR="00D22681" w:rsidRPr="00B27719" w14:paraId="55197AD6" w14:textId="77777777">
        <w:trPr>
          <w:jc w:val="center"/>
        </w:trPr>
        <w:tc>
          <w:tcPr>
            <w:tcW w:w="1155" w:type="dxa"/>
            <w:tcMar>
              <w:top w:w="100" w:type="dxa"/>
              <w:left w:w="100" w:type="dxa"/>
              <w:bottom w:w="100" w:type="dxa"/>
              <w:right w:w="100" w:type="dxa"/>
            </w:tcMar>
          </w:tcPr>
          <w:p w14:paraId="1BEDC20E" w14:textId="6D7248BD" w:rsidR="00D22681" w:rsidRPr="00B27719" w:rsidRDefault="00D22681">
            <w:pPr>
              <w:spacing w:line="240" w:lineRule="auto"/>
              <w:contextualSpacing w:val="0"/>
              <w:rPr>
                <w:sz w:val="24"/>
                <w:szCs w:val="24"/>
              </w:rPr>
            </w:pPr>
            <w:r w:rsidRPr="00B27719">
              <w:rPr>
                <w:rFonts w:eastAsia="Verdana"/>
                <w:sz w:val="24"/>
                <w:szCs w:val="24"/>
              </w:rPr>
              <w:t>5.5</w:t>
            </w:r>
          </w:p>
        </w:tc>
        <w:tc>
          <w:tcPr>
            <w:tcW w:w="8175" w:type="dxa"/>
            <w:tcMar>
              <w:top w:w="100" w:type="dxa"/>
              <w:left w:w="100" w:type="dxa"/>
              <w:bottom w:w="100" w:type="dxa"/>
              <w:right w:w="100" w:type="dxa"/>
            </w:tcMar>
          </w:tcPr>
          <w:p w14:paraId="0B3A4298" w14:textId="48DF1F09" w:rsidR="00D22681" w:rsidRPr="00B27719" w:rsidRDefault="00D22681" w:rsidP="003B5E6B">
            <w:pPr>
              <w:spacing w:line="240" w:lineRule="auto"/>
              <w:contextualSpacing w:val="0"/>
              <w:rPr>
                <w:sz w:val="24"/>
                <w:szCs w:val="24"/>
              </w:rPr>
            </w:pPr>
            <w:r w:rsidRPr="00B27719">
              <w:rPr>
                <w:rFonts w:eastAsia="Verdana"/>
                <w:sz w:val="24"/>
                <w:szCs w:val="24"/>
              </w:rPr>
              <w:t xml:space="preserve">Pearson may at any time undertake a review of Institution’s Higher National Qualification in order to assure it complies with Pearson guidelines. </w:t>
            </w:r>
          </w:p>
        </w:tc>
      </w:tr>
      <w:tr w:rsidR="00D22681" w:rsidRPr="00B27719" w14:paraId="0B5D2433" w14:textId="77777777">
        <w:trPr>
          <w:jc w:val="center"/>
        </w:trPr>
        <w:tc>
          <w:tcPr>
            <w:tcW w:w="1155" w:type="dxa"/>
            <w:tcMar>
              <w:top w:w="100" w:type="dxa"/>
              <w:left w:w="100" w:type="dxa"/>
              <w:bottom w:w="100" w:type="dxa"/>
              <w:right w:w="100" w:type="dxa"/>
            </w:tcMar>
          </w:tcPr>
          <w:p w14:paraId="1D8D39F5" w14:textId="1F289A17" w:rsidR="00D22681" w:rsidRPr="00B27719" w:rsidRDefault="00D22681">
            <w:pPr>
              <w:spacing w:line="240" w:lineRule="auto"/>
              <w:contextualSpacing w:val="0"/>
              <w:rPr>
                <w:sz w:val="24"/>
                <w:szCs w:val="24"/>
              </w:rPr>
            </w:pPr>
            <w:r w:rsidRPr="00B27719">
              <w:rPr>
                <w:rFonts w:eastAsia="Verdana"/>
                <w:sz w:val="24"/>
                <w:szCs w:val="24"/>
              </w:rPr>
              <w:lastRenderedPageBreak/>
              <w:t>5.6</w:t>
            </w:r>
          </w:p>
          <w:p w14:paraId="4F5481AA" w14:textId="32B67AAE"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16D52E47" w14:textId="52468684" w:rsidR="00D22681" w:rsidRPr="00B27719" w:rsidRDefault="00D22681" w:rsidP="00CC5CBD">
            <w:pPr>
              <w:spacing w:line="240" w:lineRule="auto"/>
              <w:contextualSpacing w:val="0"/>
              <w:rPr>
                <w:rFonts w:eastAsia="Verdana"/>
                <w:sz w:val="24"/>
                <w:szCs w:val="24"/>
              </w:rPr>
            </w:pPr>
            <w:r w:rsidRPr="00B27719">
              <w:rPr>
                <w:rFonts w:eastAsia="Verdana"/>
                <w:sz w:val="24"/>
                <w:szCs w:val="24"/>
              </w:rPr>
              <w:t>Pearson will provide advice and assistance to Institution on new developments, revisions of existing qualifications and how best to satisfy Pearson requirements.</w:t>
            </w:r>
          </w:p>
        </w:tc>
      </w:tr>
      <w:tr w:rsidR="00D22681" w:rsidRPr="00B27719" w14:paraId="5E7343FE" w14:textId="77777777">
        <w:trPr>
          <w:jc w:val="center"/>
        </w:trPr>
        <w:tc>
          <w:tcPr>
            <w:tcW w:w="1155" w:type="dxa"/>
            <w:tcMar>
              <w:top w:w="100" w:type="dxa"/>
              <w:left w:w="100" w:type="dxa"/>
              <w:bottom w:w="100" w:type="dxa"/>
              <w:right w:w="100" w:type="dxa"/>
            </w:tcMar>
          </w:tcPr>
          <w:p w14:paraId="76A35110" w14:textId="2CF86E18" w:rsidR="00D22681" w:rsidRPr="00B27719" w:rsidRDefault="00D22681">
            <w:pPr>
              <w:spacing w:line="240" w:lineRule="auto"/>
              <w:contextualSpacing w:val="0"/>
              <w:rPr>
                <w:sz w:val="24"/>
                <w:szCs w:val="24"/>
              </w:rPr>
            </w:pPr>
            <w:r w:rsidRPr="00B27719">
              <w:rPr>
                <w:rFonts w:eastAsia="Verdana"/>
                <w:sz w:val="24"/>
                <w:szCs w:val="24"/>
              </w:rPr>
              <w:t>5.7</w:t>
            </w:r>
          </w:p>
          <w:p w14:paraId="0F427A2B" w14:textId="0A4CC715"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04557B99" w14:textId="60191A7A" w:rsidR="00D22681" w:rsidRPr="00B27719" w:rsidRDefault="00D22681" w:rsidP="00680AB2">
            <w:pPr>
              <w:spacing w:line="240" w:lineRule="auto"/>
              <w:contextualSpacing w:val="0"/>
              <w:rPr>
                <w:sz w:val="24"/>
                <w:szCs w:val="24"/>
              </w:rPr>
            </w:pPr>
            <w:r w:rsidRPr="00B27719">
              <w:rPr>
                <w:rFonts w:eastAsia="Verdana"/>
                <w:sz w:val="24"/>
                <w:szCs w:val="24"/>
              </w:rPr>
              <w:t>Pearson will work with Institution to ensure that any significant issues connected with a new qualification, or the review of an existing qualification, are satisfactorily resolved. In the event of a failure to reach a satisfactory solution within a reasonable time period, Pearson may exclude that qualification from this Agreement.</w:t>
            </w:r>
          </w:p>
        </w:tc>
      </w:tr>
      <w:tr w:rsidR="00D22681" w:rsidRPr="00B27719" w14:paraId="67E74189" w14:textId="77777777">
        <w:trPr>
          <w:jc w:val="center"/>
        </w:trPr>
        <w:tc>
          <w:tcPr>
            <w:tcW w:w="1155" w:type="dxa"/>
            <w:tcMar>
              <w:top w:w="100" w:type="dxa"/>
              <w:left w:w="100" w:type="dxa"/>
              <w:bottom w:w="100" w:type="dxa"/>
              <w:right w:w="100" w:type="dxa"/>
            </w:tcMar>
          </w:tcPr>
          <w:p w14:paraId="3E1995F5" w14:textId="29AE1A3F" w:rsidR="00D22681" w:rsidRPr="00B27719" w:rsidRDefault="00D22681">
            <w:pPr>
              <w:spacing w:line="240" w:lineRule="auto"/>
              <w:contextualSpacing w:val="0"/>
              <w:rPr>
                <w:b/>
                <w:sz w:val="24"/>
                <w:szCs w:val="24"/>
              </w:rPr>
            </w:pPr>
            <w:r w:rsidRPr="00B27719">
              <w:rPr>
                <w:rFonts w:eastAsia="Verdana"/>
                <w:b/>
                <w:sz w:val="24"/>
                <w:szCs w:val="24"/>
              </w:rPr>
              <w:t>6</w:t>
            </w:r>
          </w:p>
          <w:p w14:paraId="070455F2" w14:textId="52BDF3D5"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6258133F" w14:textId="287D1371" w:rsidR="00D22681" w:rsidRPr="00B27719" w:rsidRDefault="00D22681" w:rsidP="00680AB2">
            <w:pPr>
              <w:spacing w:line="240" w:lineRule="auto"/>
              <w:contextualSpacing w:val="0"/>
              <w:rPr>
                <w:sz w:val="24"/>
                <w:szCs w:val="24"/>
              </w:rPr>
            </w:pPr>
            <w:r w:rsidRPr="00B27719">
              <w:rPr>
                <w:rFonts w:eastAsia="Verdana"/>
                <w:b/>
                <w:sz w:val="24"/>
                <w:szCs w:val="24"/>
              </w:rPr>
              <w:t>COLLABORATIVE ARRANGEMENTS</w:t>
            </w:r>
            <w:r w:rsidRPr="00B27719">
              <w:rPr>
                <w:rFonts w:eastAsia="Verdana"/>
                <w:sz w:val="24"/>
                <w:szCs w:val="24"/>
              </w:rPr>
              <w:t>:</w:t>
            </w:r>
          </w:p>
        </w:tc>
      </w:tr>
      <w:tr w:rsidR="00D22681" w:rsidRPr="00B27719" w14:paraId="099EBB76" w14:textId="77777777">
        <w:trPr>
          <w:jc w:val="center"/>
        </w:trPr>
        <w:tc>
          <w:tcPr>
            <w:tcW w:w="1155" w:type="dxa"/>
            <w:tcMar>
              <w:top w:w="100" w:type="dxa"/>
              <w:left w:w="100" w:type="dxa"/>
              <w:bottom w:w="100" w:type="dxa"/>
              <w:right w:w="100" w:type="dxa"/>
            </w:tcMar>
          </w:tcPr>
          <w:p w14:paraId="39E030D8" w14:textId="74860F4E" w:rsidR="00D22681" w:rsidRPr="00B27719" w:rsidRDefault="00D22681">
            <w:pPr>
              <w:spacing w:line="240" w:lineRule="auto"/>
              <w:contextualSpacing w:val="0"/>
              <w:rPr>
                <w:sz w:val="24"/>
                <w:szCs w:val="24"/>
              </w:rPr>
            </w:pPr>
            <w:r w:rsidRPr="00B27719">
              <w:rPr>
                <w:rFonts w:eastAsia="Verdana"/>
                <w:sz w:val="24"/>
                <w:szCs w:val="24"/>
              </w:rPr>
              <w:t xml:space="preserve">6.1 </w:t>
            </w:r>
          </w:p>
        </w:tc>
        <w:tc>
          <w:tcPr>
            <w:tcW w:w="8175" w:type="dxa"/>
            <w:tcMar>
              <w:top w:w="100" w:type="dxa"/>
              <w:left w:w="100" w:type="dxa"/>
              <w:bottom w:w="100" w:type="dxa"/>
              <w:right w:w="100" w:type="dxa"/>
            </w:tcMar>
          </w:tcPr>
          <w:p w14:paraId="73E74068" w14:textId="7892EA9B" w:rsidR="00D22681" w:rsidRPr="00B27719" w:rsidRDefault="00D22681" w:rsidP="00680AB2">
            <w:pPr>
              <w:spacing w:line="240" w:lineRule="auto"/>
              <w:contextualSpacing w:val="0"/>
              <w:rPr>
                <w:sz w:val="24"/>
                <w:szCs w:val="24"/>
              </w:rPr>
            </w:pPr>
            <w:r w:rsidRPr="00B27719">
              <w:rPr>
                <w:rFonts w:eastAsia="Verdana"/>
                <w:sz w:val="24"/>
                <w:szCs w:val="24"/>
              </w:rPr>
              <w:t>Institution may apply to Pearson to make arrangements for the delivery of Higher Nationals Qualifications to collaborative partner institutions in England, Wales and Ireland, in accordance with the UK Quality Code for Higher Education guidance on collaborative provision. This is to be set out in Schedule 2.</w:t>
            </w:r>
          </w:p>
        </w:tc>
      </w:tr>
      <w:tr w:rsidR="00D22681" w:rsidRPr="00B27719" w14:paraId="410D71CA" w14:textId="77777777">
        <w:trPr>
          <w:jc w:val="center"/>
        </w:trPr>
        <w:tc>
          <w:tcPr>
            <w:tcW w:w="1155" w:type="dxa"/>
            <w:tcMar>
              <w:top w:w="100" w:type="dxa"/>
              <w:left w:w="100" w:type="dxa"/>
              <w:bottom w:w="100" w:type="dxa"/>
              <w:right w:w="100" w:type="dxa"/>
            </w:tcMar>
          </w:tcPr>
          <w:p w14:paraId="0C5B0972" w14:textId="36998858" w:rsidR="00D22681" w:rsidRPr="00B27719" w:rsidRDefault="00D22681">
            <w:pPr>
              <w:spacing w:line="240" w:lineRule="auto"/>
              <w:contextualSpacing w:val="0"/>
              <w:rPr>
                <w:sz w:val="24"/>
                <w:szCs w:val="24"/>
              </w:rPr>
            </w:pPr>
            <w:r w:rsidRPr="00B27719">
              <w:rPr>
                <w:rFonts w:eastAsia="Verdana"/>
                <w:sz w:val="24"/>
                <w:szCs w:val="24"/>
              </w:rPr>
              <w:t>6.2</w:t>
            </w:r>
          </w:p>
          <w:p w14:paraId="3D2E0E4F" w14:textId="373F2429"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197BE503" w14:textId="0253C40C" w:rsidR="00D22681" w:rsidRPr="00B27719" w:rsidRDefault="00D22681" w:rsidP="00680AB2">
            <w:pPr>
              <w:spacing w:line="240" w:lineRule="auto"/>
              <w:contextualSpacing w:val="0"/>
              <w:rPr>
                <w:sz w:val="24"/>
                <w:szCs w:val="24"/>
              </w:rPr>
            </w:pPr>
            <w:r w:rsidRPr="00B27719">
              <w:rPr>
                <w:rFonts w:eastAsia="Verdana"/>
                <w:sz w:val="24"/>
                <w:szCs w:val="24"/>
              </w:rPr>
              <w:t>Institution will be responsible for the management of its collaborative provision in accordance with Pearson guidance, and in accordance with the UK Quality Code for Higher Education expectations on collaborative provision.</w:t>
            </w:r>
          </w:p>
        </w:tc>
      </w:tr>
      <w:tr w:rsidR="00D22681" w:rsidRPr="00B27719" w14:paraId="3461FB80" w14:textId="77777777">
        <w:trPr>
          <w:jc w:val="center"/>
        </w:trPr>
        <w:tc>
          <w:tcPr>
            <w:tcW w:w="1155" w:type="dxa"/>
            <w:tcMar>
              <w:top w:w="100" w:type="dxa"/>
              <w:left w:w="100" w:type="dxa"/>
              <w:bottom w:w="100" w:type="dxa"/>
              <w:right w:w="100" w:type="dxa"/>
            </w:tcMar>
          </w:tcPr>
          <w:p w14:paraId="6294A021" w14:textId="7F0519B9" w:rsidR="00D22681" w:rsidRPr="00B27719" w:rsidRDefault="00D22681">
            <w:pPr>
              <w:spacing w:line="240" w:lineRule="auto"/>
              <w:contextualSpacing w:val="0"/>
              <w:rPr>
                <w:sz w:val="24"/>
                <w:szCs w:val="24"/>
              </w:rPr>
            </w:pPr>
            <w:r w:rsidRPr="00B27719">
              <w:rPr>
                <w:rFonts w:eastAsia="Verdana"/>
                <w:sz w:val="24"/>
                <w:szCs w:val="24"/>
              </w:rPr>
              <w:t>6.3</w:t>
            </w:r>
          </w:p>
          <w:p w14:paraId="31682074" w14:textId="77777777"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7CFA9639" w14:textId="15AE0BA9" w:rsidR="00D22681" w:rsidRPr="00B27719" w:rsidRDefault="00D22681" w:rsidP="00680AB2">
            <w:pPr>
              <w:spacing w:line="240" w:lineRule="auto"/>
              <w:contextualSpacing w:val="0"/>
              <w:rPr>
                <w:sz w:val="24"/>
                <w:szCs w:val="24"/>
              </w:rPr>
            </w:pPr>
            <w:r w:rsidRPr="00B27719">
              <w:rPr>
                <w:rFonts w:eastAsia="Verdana"/>
                <w:sz w:val="24"/>
                <w:szCs w:val="24"/>
              </w:rPr>
              <w:t xml:space="preserve">If operating overseas, Institution must comply with Model 3 of Pearson’s policy for ‘Centres Operating Across International Borders to Offer BTEC and Other Pearson Vocational Qualifications’. This can be found on the Pearson website. </w:t>
            </w:r>
          </w:p>
        </w:tc>
      </w:tr>
      <w:tr w:rsidR="00D22681" w:rsidRPr="00B27719" w14:paraId="1573C22F" w14:textId="77777777">
        <w:trPr>
          <w:jc w:val="center"/>
        </w:trPr>
        <w:tc>
          <w:tcPr>
            <w:tcW w:w="1155" w:type="dxa"/>
            <w:tcMar>
              <w:top w:w="100" w:type="dxa"/>
              <w:left w:w="100" w:type="dxa"/>
              <w:bottom w:w="100" w:type="dxa"/>
              <w:right w:w="100" w:type="dxa"/>
            </w:tcMar>
          </w:tcPr>
          <w:p w14:paraId="2DFA328C" w14:textId="2AA53A61" w:rsidR="00D22681" w:rsidRPr="00B27719" w:rsidRDefault="00D22681">
            <w:pPr>
              <w:spacing w:line="240" w:lineRule="auto"/>
              <w:contextualSpacing w:val="0"/>
              <w:rPr>
                <w:b/>
                <w:sz w:val="24"/>
                <w:szCs w:val="24"/>
              </w:rPr>
            </w:pPr>
            <w:r w:rsidRPr="00B27719">
              <w:rPr>
                <w:rFonts w:eastAsia="Verdana"/>
                <w:b/>
                <w:sz w:val="24"/>
                <w:szCs w:val="24"/>
              </w:rPr>
              <w:t>7</w:t>
            </w:r>
          </w:p>
        </w:tc>
        <w:tc>
          <w:tcPr>
            <w:tcW w:w="8175" w:type="dxa"/>
            <w:tcMar>
              <w:top w:w="100" w:type="dxa"/>
              <w:left w:w="100" w:type="dxa"/>
              <w:bottom w:w="100" w:type="dxa"/>
              <w:right w:w="100" w:type="dxa"/>
            </w:tcMar>
          </w:tcPr>
          <w:p w14:paraId="684775DE" w14:textId="77777777" w:rsidR="00D22681" w:rsidRPr="00B27719" w:rsidRDefault="00D22681">
            <w:pPr>
              <w:spacing w:line="240" w:lineRule="auto"/>
              <w:contextualSpacing w:val="0"/>
              <w:rPr>
                <w:sz w:val="24"/>
                <w:szCs w:val="24"/>
              </w:rPr>
            </w:pPr>
            <w:r w:rsidRPr="00B27719">
              <w:rPr>
                <w:rFonts w:eastAsia="Verdana"/>
                <w:b/>
                <w:sz w:val="24"/>
                <w:szCs w:val="24"/>
              </w:rPr>
              <w:t>CERTIFICATION</w:t>
            </w:r>
            <w:r w:rsidRPr="00B27719">
              <w:rPr>
                <w:rFonts w:eastAsia="Verdana"/>
                <w:sz w:val="24"/>
                <w:szCs w:val="24"/>
              </w:rPr>
              <w:t>:</w:t>
            </w:r>
          </w:p>
          <w:p w14:paraId="7271DE8D" w14:textId="550CD4AB" w:rsidR="00D22681" w:rsidRPr="00B27719" w:rsidRDefault="00D22681" w:rsidP="00680AB2">
            <w:pPr>
              <w:spacing w:line="240" w:lineRule="auto"/>
              <w:contextualSpacing w:val="0"/>
              <w:rPr>
                <w:sz w:val="24"/>
                <w:szCs w:val="24"/>
              </w:rPr>
            </w:pPr>
          </w:p>
        </w:tc>
      </w:tr>
      <w:tr w:rsidR="00D22681" w:rsidRPr="00B27719" w14:paraId="48886622" w14:textId="77777777">
        <w:trPr>
          <w:jc w:val="center"/>
        </w:trPr>
        <w:tc>
          <w:tcPr>
            <w:tcW w:w="1155" w:type="dxa"/>
            <w:tcMar>
              <w:top w:w="100" w:type="dxa"/>
              <w:left w:w="100" w:type="dxa"/>
              <w:bottom w:w="100" w:type="dxa"/>
              <w:right w:w="100" w:type="dxa"/>
            </w:tcMar>
          </w:tcPr>
          <w:p w14:paraId="6C0C85FA" w14:textId="2430F3A8" w:rsidR="00D22681" w:rsidRPr="00B27719" w:rsidRDefault="00D22681">
            <w:pPr>
              <w:spacing w:line="240" w:lineRule="auto"/>
              <w:contextualSpacing w:val="0"/>
              <w:rPr>
                <w:sz w:val="24"/>
                <w:szCs w:val="24"/>
              </w:rPr>
            </w:pPr>
            <w:r w:rsidRPr="00B27719">
              <w:rPr>
                <w:rFonts w:eastAsia="Verdana"/>
                <w:sz w:val="24"/>
                <w:szCs w:val="24"/>
              </w:rPr>
              <w:t>7.1</w:t>
            </w:r>
          </w:p>
        </w:tc>
        <w:tc>
          <w:tcPr>
            <w:tcW w:w="8175" w:type="dxa"/>
            <w:tcMar>
              <w:top w:w="100" w:type="dxa"/>
              <w:left w:w="100" w:type="dxa"/>
              <w:bottom w:w="100" w:type="dxa"/>
              <w:right w:w="100" w:type="dxa"/>
            </w:tcMar>
          </w:tcPr>
          <w:p w14:paraId="377CC46D" w14:textId="2F8B0B82" w:rsidR="00D22681" w:rsidRPr="00B27719" w:rsidRDefault="00D22681">
            <w:pPr>
              <w:spacing w:line="240" w:lineRule="auto"/>
              <w:contextualSpacing w:val="0"/>
              <w:rPr>
                <w:sz w:val="24"/>
                <w:szCs w:val="24"/>
              </w:rPr>
            </w:pPr>
            <w:r w:rsidRPr="00B27719">
              <w:rPr>
                <w:rFonts w:eastAsia="Verdana"/>
                <w:sz w:val="24"/>
                <w:szCs w:val="24"/>
              </w:rPr>
              <w:t xml:space="preserve">Institution will produce and distribute certificates to successful students, in accordance with secure certification procedures that are capable of being audited by Pearson. Institution must also produce a transcript/diploma supplement for each student after completion of the Programme or withdrawal. </w:t>
            </w:r>
          </w:p>
        </w:tc>
      </w:tr>
      <w:tr w:rsidR="00D22681" w:rsidRPr="00B27719" w14:paraId="6127AC66" w14:textId="77777777">
        <w:trPr>
          <w:jc w:val="center"/>
        </w:trPr>
        <w:tc>
          <w:tcPr>
            <w:tcW w:w="1155" w:type="dxa"/>
            <w:tcMar>
              <w:top w:w="100" w:type="dxa"/>
              <w:left w:w="100" w:type="dxa"/>
              <w:bottom w:w="100" w:type="dxa"/>
              <w:right w:w="100" w:type="dxa"/>
            </w:tcMar>
          </w:tcPr>
          <w:p w14:paraId="701BFFD9" w14:textId="050038D2" w:rsidR="00D22681" w:rsidRPr="00B27719" w:rsidRDefault="00D22681">
            <w:pPr>
              <w:spacing w:line="240" w:lineRule="auto"/>
              <w:contextualSpacing w:val="0"/>
              <w:rPr>
                <w:sz w:val="24"/>
                <w:szCs w:val="24"/>
              </w:rPr>
            </w:pPr>
            <w:r w:rsidRPr="00B27719">
              <w:rPr>
                <w:rFonts w:eastAsia="Verdana"/>
                <w:sz w:val="24"/>
                <w:szCs w:val="24"/>
              </w:rPr>
              <w:t>7.2</w:t>
            </w:r>
          </w:p>
          <w:p w14:paraId="5CCB33E0" w14:textId="044542B0"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4C4DD66B" w14:textId="2E0F78F7" w:rsidR="00D22681" w:rsidRPr="00B27719" w:rsidRDefault="00D22681" w:rsidP="00D22681">
            <w:pPr>
              <w:spacing w:line="240" w:lineRule="auto"/>
              <w:contextualSpacing w:val="0"/>
              <w:rPr>
                <w:sz w:val="24"/>
                <w:szCs w:val="24"/>
              </w:rPr>
            </w:pPr>
            <w:r w:rsidRPr="00B27719">
              <w:rPr>
                <w:rFonts w:eastAsia="Verdana"/>
                <w:sz w:val="24"/>
                <w:szCs w:val="24"/>
              </w:rPr>
              <w:t>Certificates for Higher National Qualifications will be worded in accordance with the relevant Pearson guidance. Institution will design the certificate and will submit a copy to Pearson for its records.  For the avoidance of doubt, the certificate must not suggest in any way that the Higher National Qualification is awarded or validated by Pearson and must not include the word “BTEC”.</w:t>
            </w:r>
          </w:p>
        </w:tc>
      </w:tr>
      <w:tr w:rsidR="00D22681" w:rsidRPr="00B27719" w14:paraId="6F1AFAD8" w14:textId="77777777">
        <w:trPr>
          <w:jc w:val="center"/>
        </w:trPr>
        <w:tc>
          <w:tcPr>
            <w:tcW w:w="1155" w:type="dxa"/>
            <w:tcMar>
              <w:top w:w="100" w:type="dxa"/>
              <w:left w:w="100" w:type="dxa"/>
              <w:bottom w:w="100" w:type="dxa"/>
              <w:right w:w="100" w:type="dxa"/>
            </w:tcMar>
          </w:tcPr>
          <w:p w14:paraId="4A0DA39D" w14:textId="65A618AF" w:rsidR="00D22681" w:rsidRPr="00B27719" w:rsidRDefault="00D22681">
            <w:pPr>
              <w:spacing w:line="240" w:lineRule="auto"/>
              <w:contextualSpacing w:val="0"/>
              <w:rPr>
                <w:b/>
                <w:sz w:val="24"/>
                <w:szCs w:val="24"/>
              </w:rPr>
            </w:pPr>
            <w:r w:rsidRPr="00B27719">
              <w:rPr>
                <w:rFonts w:eastAsia="Verdana"/>
                <w:b/>
                <w:sz w:val="24"/>
                <w:szCs w:val="24"/>
              </w:rPr>
              <w:t>8</w:t>
            </w:r>
          </w:p>
        </w:tc>
        <w:tc>
          <w:tcPr>
            <w:tcW w:w="8175" w:type="dxa"/>
            <w:tcMar>
              <w:top w:w="100" w:type="dxa"/>
              <w:left w:w="100" w:type="dxa"/>
              <w:bottom w:w="100" w:type="dxa"/>
              <w:right w:w="100" w:type="dxa"/>
            </w:tcMar>
          </w:tcPr>
          <w:p w14:paraId="0A7FA42B" w14:textId="77777777" w:rsidR="00D22681" w:rsidRPr="00B27719" w:rsidRDefault="00D22681">
            <w:pPr>
              <w:spacing w:line="240" w:lineRule="auto"/>
              <w:contextualSpacing w:val="0"/>
              <w:rPr>
                <w:sz w:val="24"/>
                <w:szCs w:val="24"/>
              </w:rPr>
            </w:pPr>
            <w:r w:rsidRPr="00B27719">
              <w:rPr>
                <w:rFonts w:eastAsia="Verdana"/>
                <w:b/>
                <w:sz w:val="24"/>
                <w:szCs w:val="24"/>
              </w:rPr>
              <w:t>STUDENT REGISTRATIONS AND FEES</w:t>
            </w:r>
            <w:r w:rsidRPr="00B27719">
              <w:rPr>
                <w:rFonts w:eastAsia="Verdana"/>
                <w:sz w:val="24"/>
                <w:szCs w:val="24"/>
              </w:rPr>
              <w:t>:</w:t>
            </w:r>
          </w:p>
          <w:p w14:paraId="32046ECA" w14:textId="0171EC37" w:rsidR="00D22681" w:rsidRPr="00B27719" w:rsidRDefault="00D22681" w:rsidP="00173A53">
            <w:pPr>
              <w:spacing w:line="240" w:lineRule="auto"/>
              <w:contextualSpacing w:val="0"/>
              <w:rPr>
                <w:sz w:val="24"/>
                <w:szCs w:val="24"/>
              </w:rPr>
            </w:pPr>
          </w:p>
        </w:tc>
      </w:tr>
      <w:tr w:rsidR="00D22681" w:rsidRPr="00B27719" w14:paraId="16022300" w14:textId="77777777">
        <w:trPr>
          <w:jc w:val="center"/>
        </w:trPr>
        <w:tc>
          <w:tcPr>
            <w:tcW w:w="1155" w:type="dxa"/>
            <w:tcMar>
              <w:top w:w="100" w:type="dxa"/>
              <w:left w:w="100" w:type="dxa"/>
              <w:bottom w:w="100" w:type="dxa"/>
              <w:right w:w="100" w:type="dxa"/>
            </w:tcMar>
          </w:tcPr>
          <w:p w14:paraId="79162AE6" w14:textId="4C265FBE" w:rsidR="00D22681" w:rsidRPr="00B27719" w:rsidRDefault="00D22681">
            <w:pPr>
              <w:spacing w:line="240" w:lineRule="auto"/>
              <w:contextualSpacing w:val="0"/>
              <w:rPr>
                <w:sz w:val="24"/>
                <w:szCs w:val="24"/>
              </w:rPr>
            </w:pPr>
            <w:r w:rsidRPr="00B27719">
              <w:rPr>
                <w:rFonts w:eastAsia="Verdana"/>
                <w:sz w:val="24"/>
                <w:szCs w:val="24"/>
              </w:rPr>
              <w:lastRenderedPageBreak/>
              <w:t>8.1</w:t>
            </w:r>
          </w:p>
        </w:tc>
        <w:tc>
          <w:tcPr>
            <w:tcW w:w="8175" w:type="dxa"/>
            <w:tcMar>
              <w:top w:w="100" w:type="dxa"/>
              <w:left w:w="100" w:type="dxa"/>
              <w:bottom w:w="100" w:type="dxa"/>
              <w:right w:w="100" w:type="dxa"/>
            </w:tcMar>
          </w:tcPr>
          <w:p w14:paraId="4B5BA628" w14:textId="266069EE" w:rsidR="00D22681" w:rsidRPr="00B27719" w:rsidRDefault="00D22681">
            <w:pPr>
              <w:spacing w:line="240" w:lineRule="auto"/>
              <w:contextualSpacing w:val="0"/>
              <w:rPr>
                <w:sz w:val="24"/>
                <w:szCs w:val="24"/>
              </w:rPr>
            </w:pPr>
            <w:r w:rsidRPr="00B27719">
              <w:rPr>
                <w:rFonts w:eastAsia="Verdana"/>
                <w:sz w:val="24"/>
                <w:szCs w:val="24"/>
              </w:rPr>
              <w:t>Institution shall not register students on Higher National Qualifications in excess of 30% above the proposed student numbers as set out in Schedule 1 and Schedule 2.</w:t>
            </w:r>
          </w:p>
        </w:tc>
      </w:tr>
      <w:tr w:rsidR="00D22681" w:rsidRPr="00B27719" w14:paraId="4B1F7C50" w14:textId="77777777">
        <w:trPr>
          <w:jc w:val="center"/>
        </w:trPr>
        <w:tc>
          <w:tcPr>
            <w:tcW w:w="1155" w:type="dxa"/>
            <w:tcMar>
              <w:top w:w="100" w:type="dxa"/>
              <w:left w:w="100" w:type="dxa"/>
              <w:bottom w:w="100" w:type="dxa"/>
              <w:right w:w="100" w:type="dxa"/>
            </w:tcMar>
          </w:tcPr>
          <w:p w14:paraId="535459FE" w14:textId="7733E79E" w:rsidR="00D22681" w:rsidRPr="00B27719" w:rsidRDefault="00D22681">
            <w:pPr>
              <w:spacing w:line="240" w:lineRule="auto"/>
              <w:contextualSpacing w:val="0"/>
              <w:rPr>
                <w:sz w:val="24"/>
                <w:szCs w:val="24"/>
              </w:rPr>
            </w:pPr>
            <w:r w:rsidRPr="00B27719">
              <w:rPr>
                <w:rFonts w:eastAsia="Verdana"/>
                <w:sz w:val="24"/>
                <w:szCs w:val="24"/>
              </w:rPr>
              <w:t>8.2</w:t>
            </w:r>
          </w:p>
          <w:p w14:paraId="4D593362" w14:textId="5BCC9A9D"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2E9FFFA7" w14:textId="257A4A5D" w:rsidR="00D22681" w:rsidRPr="00B27719" w:rsidRDefault="00D22681">
            <w:pPr>
              <w:spacing w:line="240" w:lineRule="auto"/>
              <w:contextualSpacing w:val="0"/>
              <w:rPr>
                <w:sz w:val="24"/>
                <w:szCs w:val="24"/>
              </w:rPr>
            </w:pPr>
            <w:r w:rsidRPr="00B27719">
              <w:rPr>
                <w:rFonts w:eastAsia="Verdana"/>
                <w:sz w:val="24"/>
                <w:szCs w:val="24"/>
              </w:rPr>
              <w:t>For Programmes following an academic year, registrations of students on Higher National Qualifications must be uploaded via Edexcel online by November 15</w:t>
            </w:r>
            <w:r w:rsidRPr="00B27719">
              <w:rPr>
                <w:rFonts w:eastAsia="Verdana"/>
                <w:sz w:val="24"/>
                <w:szCs w:val="24"/>
                <w:vertAlign w:val="superscript"/>
              </w:rPr>
              <w:t>th</w:t>
            </w:r>
            <w:r w:rsidRPr="00B27719">
              <w:rPr>
                <w:rFonts w:eastAsia="Verdana"/>
                <w:sz w:val="24"/>
                <w:szCs w:val="24"/>
              </w:rPr>
              <w:t xml:space="preserve">. </w:t>
            </w:r>
          </w:p>
        </w:tc>
      </w:tr>
      <w:tr w:rsidR="00D22681" w:rsidRPr="00B27719" w14:paraId="07E73669" w14:textId="77777777">
        <w:trPr>
          <w:jc w:val="center"/>
        </w:trPr>
        <w:tc>
          <w:tcPr>
            <w:tcW w:w="1155" w:type="dxa"/>
            <w:tcMar>
              <w:top w:w="100" w:type="dxa"/>
              <w:left w:w="100" w:type="dxa"/>
              <w:bottom w:w="100" w:type="dxa"/>
              <w:right w:w="100" w:type="dxa"/>
            </w:tcMar>
          </w:tcPr>
          <w:p w14:paraId="11F0F051" w14:textId="2A7EA88F" w:rsidR="00D22681" w:rsidRPr="00B27719" w:rsidRDefault="00D22681">
            <w:pPr>
              <w:spacing w:line="240" w:lineRule="auto"/>
              <w:contextualSpacing w:val="0"/>
              <w:rPr>
                <w:sz w:val="24"/>
                <w:szCs w:val="24"/>
              </w:rPr>
            </w:pPr>
            <w:r w:rsidRPr="00B27719">
              <w:rPr>
                <w:rFonts w:eastAsia="Verdana"/>
                <w:sz w:val="24"/>
                <w:szCs w:val="24"/>
              </w:rPr>
              <w:t>8.3</w:t>
            </w:r>
          </w:p>
        </w:tc>
        <w:tc>
          <w:tcPr>
            <w:tcW w:w="8175" w:type="dxa"/>
            <w:tcMar>
              <w:top w:w="100" w:type="dxa"/>
              <w:left w:w="100" w:type="dxa"/>
              <w:bottom w:w="100" w:type="dxa"/>
              <w:right w:w="100" w:type="dxa"/>
            </w:tcMar>
          </w:tcPr>
          <w:p w14:paraId="2C1049AD" w14:textId="017C027F" w:rsidR="00D22681" w:rsidRPr="00B27719" w:rsidRDefault="00D22681">
            <w:pPr>
              <w:spacing w:line="240" w:lineRule="auto"/>
              <w:contextualSpacing w:val="0"/>
              <w:rPr>
                <w:sz w:val="24"/>
                <w:szCs w:val="24"/>
              </w:rPr>
            </w:pPr>
            <w:r w:rsidRPr="00B27719">
              <w:rPr>
                <w:rFonts w:eastAsia="Verdana"/>
                <w:sz w:val="24"/>
                <w:szCs w:val="24"/>
              </w:rPr>
              <w:t xml:space="preserve">For Programmes with other start times, registration of students on Higher National Qualifications must be uploaded via Edexcel Online within 30 days of the commencement of the Programme. </w:t>
            </w:r>
          </w:p>
        </w:tc>
      </w:tr>
      <w:tr w:rsidR="00D22681" w:rsidRPr="00B27719" w14:paraId="2A3A3C74" w14:textId="77777777">
        <w:trPr>
          <w:jc w:val="center"/>
        </w:trPr>
        <w:tc>
          <w:tcPr>
            <w:tcW w:w="1155" w:type="dxa"/>
            <w:tcMar>
              <w:top w:w="100" w:type="dxa"/>
              <w:left w:w="100" w:type="dxa"/>
              <w:bottom w:w="100" w:type="dxa"/>
              <w:right w:w="100" w:type="dxa"/>
            </w:tcMar>
          </w:tcPr>
          <w:p w14:paraId="4C1F1556" w14:textId="3FFF9F77" w:rsidR="00D22681" w:rsidRPr="00B27719" w:rsidRDefault="00D22681">
            <w:pPr>
              <w:spacing w:line="240" w:lineRule="auto"/>
              <w:contextualSpacing w:val="0"/>
              <w:rPr>
                <w:sz w:val="24"/>
                <w:szCs w:val="24"/>
              </w:rPr>
            </w:pPr>
            <w:r w:rsidRPr="00B27719">
              <w:rPr>
                <w:rFonts w:eastAsia="Verdana"/>
                <w:sz w:val="24"/>
                <w:szCs w:val="24"/>
              </w:rPr>
              <w:t>8.4</w:t>
            </w:r>
          </w:p>
        </w:tc>
        <w:tc>
          <w:tcPr>
            <w:tcW w:w="8175" w:type="dxa"/>
            <w:tcMar>
              <w:top w:w="100" w:type="dxa"/>
              <w:left w:w="100" w:type="dxa"/>
              <w:bottom w:w="100" w:type="dxa"/>
              <w:right w:w="100" w:type="dxa"/>
            </w:tcMar>
          </w:tcPr>
          <w:p w14:paraId="5F82711D" w14:textId="5769E953" w:rsidR="00D22681" w:rsidRPr="00B27719" w:rsidRDefault="00D22681" w:rsidP="00657823">
            <w:pPr>
              <w:spacing w:line="240" w:lineRule="auto"/>
              <w:contextualSpacing w:val="0"/>
              <w:rPr>
                <w:sz w:val="24"/>
                <w:szCs w:val="24"/>
              </w:rPr>
            </w:pPr>
            <w:r w:rsidRPr="00B27719">
              <w:rPr>
                <w:rFonts w:eastAsia="Verdana"/>
                <w:sz w:val="24"/>
                <w:szCs w:val="24"/>
              </w:rPr>
              <w:t xml:space="preserve">In consideration for the rights granted under this Agreement, Institution shall pay Pearson a fee for each student registered on any Higher National Qualification which uses the Pearson IP.  The fees payable by Institution will be the registration fees set out on Pearson’s website (which are reviewed annually) but subject to a 25% discount.  This fee shall be Institution’s total payment obligation under both the Trademark Licence Agreement and this IP Licence Agreement for any Higher National Qualification which uses Pearson IP.  For the avoidance of doubt, no additional payment will be due from Institution under the Trademark Licence Agreement in respect of such Higher National Qualification.  </w:t>
            </w:r>
          </w:p>
        </w:tc>
      </w:tr>
      <w:tr w:rsidR="00D22681" w:rsidRPr="00B27719" w14:paraId="277EEF88" w14:textId="77777777">
        <w:trPr>
          <w:jc w:val="center"/>
        </w:trPr>
        <w:tc>
          <w:tcPr>
            <w:tcW w:w="1155" w:type="dxa"/>
            <w:tcMar>
              <w:top w:w="100" w:type="dxa"/>
              <w:left w:w="100" w:type="dxa"/>
              <w:bottom w:w="100" w:type="dxa"/>
              <w:right w:w="100" w:type="dxa"/>
            </w:tcMar>
          </w:tcPr>
          <w:p w14:paraId="5A400D83" w14:textId="42559363" w:rsidR="00D22681" w:rsidRPr="00B27719" w:rsidRDefault="00D22681">
            <w:pPr>
              <w:spacing w:line="240" w:lineRule="auto"/>
              <w:contextualSpacing w:val="0"/>
              <w:rPr>
                <w:sz w:val="24"/>
                <w:szCs w:val="24"/>
              </w:rPr>
            </w:pPr>
            <w:r w:rsidRPr="00B27719">
              <w:rPr>
                <w:rFonts w:eastAsia="Verdana"/>
                <w:sz w:val="24"/>
                <w:szCs w:val="24"/>
              </w:rPr>
              <w:t>8.5</w:t>
            </w:r>
          </w:p>
        </w:tc>
        <w:tc>
          <w:tcPr>
            <w:tcW w:w="8175" w:type="dxa"/>
            <w:tcMar>
              <w:top w:w="100" w:type="dxa"/>
              <w:left w:w="100" w:type="dxa"/>
              <w:bottom w:w="100" w:type="dxa"/>
              <w:right w:w="100" w:type="dxa"/>
            </w:tcMar>
          </w:tcPr>
          <w:p w14:paraId="22E0DCAF" w14:textId="01E8779F" w:rsidR="00D22681" w:rsidRPr="00B27719" w:rsidRDefault="00D22681">
            <w:pPr>
              <w:spacing w:line="240" w:lineRule="auto"/>
              <w:contextualSpacing w:val="0"/>
              <w:rPr>
                <w:sz w:val="24"/>
                <w:szCs w:val="24"/>
              </w:rPr>
            </w:pPr>
            <w:r w:rsidRPr="00B27719">
              <w:rPr>
                <w:rFonts w:eastAsia="Verdana"/>
                <w:sz w:val="24"/>
                <w:szCs w:val="24"/>
              </w:rPr>
              <w:t>Late registration fees will apply, in line with Pearson published policy.</w:t>
            </w:r>
          </w:p>
        </w:tc>
      </w:tr>
      <w:tr w:rsidR="00D22681" w:rsidRPr="00B27719" w14:paraId="0CD42003" w14:textId="77777777" w:rsidTr="00D22681">
        <w:trPr>
          <w:trHeight w:val="341"/>
          <w:jc w:val="center"/>
        </w:trPr>
        <w:tc>
          <w:tcPr>
            <w:tcW w:w="1155" w:type="dxa"/>
            <w:tcMar>
              <w:top w:w="100" w:type="dxa"/>
              <w:left w:w="100" w:type="dxa"/>
              <w:bottom w:w="100" w:type="dxa"/>
              <w:right w:w="100" w:type="dxa"/>
            </w:tcMar>
          </w:tcPr>
          <w:p w14:paraId="4BB7F299" w14:textId="3BA93A2F" w:rsidR="00D22681" w:rsidRPr="00B27719" w:rsidRDefault="00D22681" w:rsidP="00D22681">
            <w:pPr>
              <w:spacing w:line="240" w:lineRule="auto"/>
              <w:contextualSpacing w:val="0"/>
              <w:rPr>
                <w:sz w:val="24"/>
                <w:szCs w:val="24"/>
              </w:rPr>
            </w:pPr>
            <w:r w:rsidRPr="00B27719">
              <w:rPr>
                <w:rFonts w:eastAsia="Verdana"/>
                <w:sz w:val="24"/>
                <w:szCs w:val="24"/>
              </w:rPr>
              <w:t>8.6</w:t>
            </w:r>
          </w:p>
        </w:tc>
        <w:tc>
          <w:tcPr>
            <w:tcW w:w="8175" w:type="dxa"/>
            <w:tcMar>
              <w:top w:w="100" w:type="dxa"/>
              <w:left w:w="100" w:type="dxa"/>
              <w:bottom w:w="100" w:type="dxa"/>
              <w:right w:w="100" w:type="dxa"/>
            </w:tcMar>
          </w:tcPr>
          <w:p w14:paraId="145E9DB0" w14:textId="0A0F1475" w:rsidR="00D22681" w:rsidRPr="00B27719" w:rsidRDefault="00D22681">
            <w:pPr>
              <w:spacing w:line="240" w:lineRule="auto"/>
              <w:contextualSpacing w:val="0"/>
              <w:rPr>
                <w:sz w:val="24"/>
                <w:szCs w:val="24"/>
              </w:rPr>
            </w:pPr>
            <w:r w:rsidRPr="00B27719">
              <w:rPr>
                <w:rFonts w:eastAsia="Verdana"/>
                <w:sz w:val="24"/>
                <w:szCs w:val="24"/>
              </w:rPr>
              <w:t>Pearson will invoice Institution for the registration fees following registration. The fees will be payable within one month of the date of the invoice.</w:t>
            </w:r>
          </w:p>
        </w:tc>
      </w:tr>
      <w:tr w:rsidR="00D22681" w:rsidRPr="00B27719" w14:paraId="4E31A367" w14:textId="77777777">
        <w:trPr>
          <w:jc w:val="center"/>
        </w:trPr>
        <w:tc>
          <w:tcPr>
            <w:tcW w:w="1155" w:type="dxa"/>
            <w:tcMar>
              <w:top w:w="100" w:type="dxa"/>
              <w:left w:w="100" w:type="dxa"/>
              <w:bottom w:w="100" w:type="dxa"/>
              <w:right w:w="100" w:type="dxa"/>
            </w:tcMar>
          </w:tcPr>
          <w:p w14:paraId="40DCD9F9" w14:textId="7013D1AF" w:rsidR="00D22681" w:rsidRPr="00B27719" w:rsidRDefault="00D22681">
            <w:pPr>
              <w:spacing w:line="240" w:lineRule="auto"/>
              <w:contextualSpacing w:val="0"/>
              <w:rPr>
                <w:sz w:val="24"/>
                <w:szCs w:val="24"/>
              </w:rPr>
            </w:pPr>
            <w:r w:rsidRPr="00B27719">
              <w:rPr>
                <w:rFonts w:eastAsia="Verdana"/>
                <w:sz w:val="24"/>
                <w:szCs w:val="24"/>
              </w:rPr>
              <w:t>8.7</w:t>
            </w:r>
          </w:p>
        </w:tc>
        <w:tc>
          <w:tcPr>
            <w:tcW w:w="8175" w:type="dxa"/>
            <w:tcMar>
              <w:top w:w="100" w:type="dxa"/>
              <w:left w:w="100" w:type="dxa"/>
              <w:bottom w:w="100" w:type="dxa"/>
              <w:right w:w="100" w:type="dxa"/>
            </w:tcMar>
          </w:tcPr>
          <w:p w14:paraId="73A2F8D9" w14:textId="769C63AF" w:rsidR="00D22681" w:rsidRPr="00B27719" w:rsidRDefault="00D22681" w:rsidP="00657823">
            <w:pPr>
              <w:spacing w:line="240" w:lineRule="auto"/>
              <w:contextualSpacing w:val="0"/>
              <w:rPr>
                <w:sz w:val="24"/>
                <w:szCs w:val="24"/>
              </w:rPr>
            </w:pPr>
            <w:r w:rsidRPr="00B27719">
              <w:rPr>
                <w:rFonts w:eastAsia="Verdana"/>
                <w:sz w:val="24"/>
                <w:szCs w:val="24"/>
              </w:rPr>
              <w:t>Institution will update student registration details on Edexcel Online by 30</w:t>
            </w:r>
            <w:r w:rsidRPr="00B27719">
              <w:rPr>
                <w:rFonts w:eastAsia="Verdana"/>
                <w:sz w:val="24"/>
                <w:szCs w:val="24"/>
                <w:vertAlign w:val="superscript"/>
              </w:rPr>
              <w:t>th</w:t>
            </w:r>
            <w:r w:rsidRPr="00B27719">
              <w:rPr>
                <w:rFonts w:eastAsia="Verdana"/>
                <w:sz w:val="24"/>
                <w:szCs w:val="24"/>
              </w:rPr>
              <w:t xml:space="preserve"> September annually with details of student completions and withdrawals. Institutions may only issue certificates for Higher National Qualifications and students registered with Pearson and entered on Edexcel Online.</w:t>
            </w:r>
          </w:p>
        </w:tc>
      </w:tr>
      <w:tr w:rsidR="00D22681" w:rsidRPr="00B27719" w14:paraId="1E0BA46A" w14:textId="77777777">
        <w:trPr>
          <w:jc w:val="center"/>
        </w:trPr>
        <w:tc>
          <w:tcPr>
            <w:tcW w:w="1155" w:type="dxa"/>
            <w:tcMar>
              <w:top w:w="100" w:type="dxa"/>
              <w:left w:w="100" w:type="dxa"/>
              <w:bottom w:w="100" w:type="dxa"/>
              <w:right w:w="100" w:type="dxa"/>
            </w:tcMar>
          </w:tcPr>
          <w:p w14:paraId="3C96217D" w14:textId="56F69D7E" w:rsidR="00D22681" w:rsidRPr="00B27719" w:rsidRDefault="00D22681">
            <w:pPr>
              <w:spacing w:line="240" w:lineRule="auto"/>
              <w:contextualSpacing w:val="0"/>
              <w:rPr>
                <w:b/>
                <w:sz w:val="24"/>
                <w:szCs w:val="24"/>
              </w:rPr>
            </w:pPr>
            <w:r w:rsidRPr="00B27719">
              <w:rPr>
                <w:rFonts w:eastAsia="Verdana"/>
                <w:b/>
                <w:sz w:val="24"/>
                <w:szCs w:val="24"/>
              </w:rPr>
              <w:t>9</w:t>
            </w:r>
          </w:p>
          <w:p w14:paraId="615688F2" w14:textId="68A928FB"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1295F604" w14:textId="2EE17C4B" w:rsidR="00D22681" w:rsidRPr="00B27719" w:rsidRDefault="00D22681">
            <w:pPr>
              <w:spacing w:line="240" w:lineRule="auto"/>
              <w:contextualSpacing w:val="0"/>
              <w:rPr>
                <w:sz w:val="24"/>
                <w:szCs w:val="24"/>
              </w:rPr>
            </w:pPr>
            <w:r w:rsidRPr="00B27719">
              <w:rPr>
                <w:rFonts w:eastAsia="Verdana"/>
                <w:b/>
                <w:sz w:val="24"/>
                <w:szCs w:val="24"/>
              </w:rPr>
              <w:t>PEARSON OBLIGATIONS</w:t>
            </w:r>
            <w:r w:rsidRPr="00B27719">
              <w:rPr>
                <w:rFonts w:eastAsia="Verdana"/>
                <w:sz w:val="24"/>
                <w:szCs w:val="24"/>
              </w:rPr>
              <w:t>:</w:t>
            </w:r>
          </w:p>
        </w:tc>
      </w:tr>
      <w:tr w:rsidR="00D22681" w:rsidRPr="00B27719" w14:paraId="40B33E7B" w14:textId="77777777">
        <w:trPr>
          <w:jc w:val="center"/>
        </w:trPr>
        <w:tc>
          <w:tcPr>
            <w:tcW w:w="1155" w:type="dxa"/>
            <w:tcMar>
              <w:top w:w="100" w:type="dxa"/>
              <w:left w:w="100" w:type="dxa"/>
              <w:bottom w:w="100" w:type="dxa"/>
              <w:right w:w="100" w:type="dxa"/>
            </w:tcMar>
          </w:tcPr>
          <w:p w14:paraId="3DD37B41" w14:textId="05FFAC63" w:rsidR="00D22681" w:rsidRPr="00B27719" w:rsidRDefault="00D22681">
            <w:pPr>
              <w:spacing w:line="240" w:lineRule="auto"/>
              <w:contextualSpacing w:val="0"/>
              <w:rPr>
                <w:sz w:val="24"/>
                <w:szCs w:val="24"/>
              </w:rPr>
            </w:pPr>
            <w:r w:rsidRPr="00B27719">
              <w:rPr>
                <w:rFonts w:eastAsia="Verdana"/>
                <w:sz w:val="24"/>
                <w:szCs w:val="24"/>
              </w:rPr>
              <w:t>9.1</w:t>
            </w:r>
          </w:p>
        </w:tc>
        <w:tc>
          <w:tcPr>
            <w:tcW w:w="8175" w:type="dxa"/>
            <w:tcMar>
              <w:top w:w="100" w:type="dxa"/>
              <w:left w:w="100" w:type="dxa"/>
              <w:bottom w:w="100" w:type="dxa"/>
              <w:right w:w="100" w:type="dxa"/>
            </w:tcMar>
          </w:tcPr>
          <w:p w14:paraId="3DB76BE6" w14:textId="0F55AE86" w:rsidR="00D22681" w:rsidRPr="00B27719" w:rsidRDefault="00D22681" w:rsidP="00FA66D3">
            <w:pPr>
              <w:spacing w:line="240" w:lineRule="auto"/>
              <w:contextualSpacing w:val="0"/>
              <w:rPr>
                <w:sz w:val="24"/>
                <w:szCs w:val="24"/>
              </w:rPr>
            </w:pPr>
            <w:r w:rsidRPr="00B27719">
              <w:rPr>
                <w:rFonts w:eastAsia="Verdana"/>
                <w:sz w:val="24"/>
                <w:szCs w:val="24"/>
              </w:rPr>
              <w:t>Pearson will provide Institution with the contact details of its University Principal Examiner who can provide curriculum advice and support in the application process.</w:t>
            </w:r>
          </w:p>
        </w:tc>
      </w:tr>
      <w:tr w:rsidR="00D22681" w:rsidRPr="00B27719" w14:paraId="20559D87" w14:textId="77777777">
        <w:trPr>
          <w:jc w:val="center"/>
        </w:trPr>
        <w:tc>
          <w:tcPr>
            <w:tcW w:w="1155" w:type="dxa"/>
            <w:tcMar>
              <w:top w:w="100" w:type="dxa"/>
              <w:left w:w="100" w:type="dxa"/>
              <w:bottom w:w="100" w:type="dxa"/>
              <w:right w:w="100" w:type="dxa"/>
            </w:tcMar>
          </w:tcPr>
          <w:p w14:paraId="3770CC0D" w14:textId="6752A04B" w:rsidR="00D22681" w:rsidRPr="00B27719" w:rsidRDefault="00D22681">
            <w:pPr>
              <w:spacing w:line="240" w:lineRule="auto"/>
              <w:contextualSpacing w:val="0"/>
              <w:rPr>
                <w:sz w:val="24"/>
                <w:szCs w:val="24"/>
              </w:rPr>
            </w:pPr>
            <w:r w:rsidRPr="00B27719">
              <w:rPr>
                <w:rFonts w:eastAsia="Verdana"/>
                <w:sz w:val="24"/>
                <w:szCs w:val="24"/>
              </w:rPr>
              <w:t>9.2</w:t>
            </w:r>
          </w:p>
        </w:tc>
        <w:tc>
          <w:tcPr>
            <w:tcW w:w="8175" w:type="dxa"/>
            <w:tcMar>
              <w:top w:w="100" w:type="dxa"/>
              <w:left w:w="100" w:type="dxa"/>
              <w:bottom w:w="100" w:type="dxa"/>
              <w:right w:w="100" w:type="dxa"/>
            </w:tcMar>
          </w:tcPr>
          <w:p w14:paraId="22C5FBB2" w14:textId="4EC678A7" w:rsidR="00D22681" w:rsidRPr="00B27719" w:rsidRDefault="00D22681">
            <w:pPr>
              <w:spacing w:line="240" w:lineRule="auto"/>
              <w:contextualSpacing w:val="0"/>
              <w:rPr>
                <w:sz w:val="24"/>
                <w:szCs w:val="24"/>
              </w:rPr>
            </w:pPr>
            <w:r w:rsidRPr="00B27719">
              <w:rPr>
                <w:rFonts w:eastAsia="Verdana"/>
                <w:sz w:val="24"/>
                <w:szCs w:val="24"/>
              </w:rPr>
              <w:t>Pearson will provide Institution with a Licence Centre Guide, updated annually which provides practical support and information for UK Higher Education Institutions operating under licence.</w:t>
            </w:r>
          </w:p>
        </w:tc>
      </w:tr>
      <w:tr w:rsidR="00D22681" w:rsidRPr="00B27719" w14:paraId="41E72DF0" w14:textId="77777777">
        <w:trPr>
          <w:jc w:val="center"/>
        </w:trPr>
        <w:tc>
          <w:tcPr>
            <w:tcW w:w="1155" w:type="dxa"/>
            <w:tcMar>
              <w:top w:w="100" w:type="dxa"/>
              <w:left w:w="100" w:type="dxa"/>
              <w:bottom w:w="100" w:type="dxa"/>
              <w:right w:w="100" w:type="dxa"/>
            </w:tcMar>
          </w:tcPr>
          <w:p w14:paraId="0F8910EC" w14:textId="67DC4F49" w:rsidR="00D22681" w:rsidRPr="00B27719" w:rsidRDefault="00D22681">
            <w:pPr>
              <w:spacing w:line="240" w:lineRule="auto"/>
              <w:contextualSpacing w:val="0"/>
              <w:rPr>
                <w:sz w:val="24"/>
                <w:szCs w:val="24"/>
              </w:rPr>
            </w:pPr>
            <w:r w:rsidRPr="00B27719">
              <w:rPr>
                <w:sz w:val="24"/>
                <w:szCs w:val="24"/>
              </w:rPr>
              <w:t>9.3</w:t>
            </w:r>
          </w:p>
        </w:tc>
        <w:tc>
          <w:tcPr>
            <w:tcW w:w="8175" w:type="dxa"/>
            <w:tcMar>
              <w:top w:w="100" w:type="dxa"/>
              <w:left w:w="100" w:type="dxa"/>
              <w:bottom w:w="100" w:type="dxa"/>
              <w:right w:w="100" w:type="dxa"/>
            </w:tcMar>
          </w:tcPr>
          <w:p w14:paraId="73954E3B" w14:textId="4EB4A4DD" w:rsidR="00D22681" w:rsidRPr="00B27719" w:rsidRDefault="00D22681">
            <w:pPr>
              <w:spacing w:line="240" w:lineRule="auto"/>
              <w:contextualSpacing w:val="0"/>
              <w:rPr>
                <w:sz w:val="24"/>
                <w:szCs w:val="24"/>
              </w:rPr>
            </w:pPr>
            <w:r w:rsidRPr="00B27719">
              <w:rPr>
                <w:rFonts w:eastAsia="Verdana"/>
                <w:sz w:val="24"/>
                <w:szCs w:val="24"/>
              </w:rPr>
              <w:t>Pearson will produce an annual summary report on Higher National qualifications delivered under licence.</w:t>
            </w:r>
          </w:p>
        </w:tc>
      </w:tr>
      <w:tr w:rsidR="00D22681" w:rsidRPr="00B27719" w14:paraId="35E8CBE7" w14:textId="77777777">
        <w:trPr>
          <w:jc w:val="center"/>
        </w:trPr>
        <w:tc>
          <w:tcPr>
            <w:tcW w:w="1155" w:type="dxa"/>
            <w:tcMar>
              <w:top w:w="100" w:type="dxa"/>
              <w:left w:w="100" w:type="dxa"/>
              <w:bottom w:w="100" w:type="dxa"/>
              <w:right w:w="100" w:type="dxa"/>
            </w:tcMar>
          </w:tcPr>
          <w:p w14:paraId="0325890F" w14:textId="00EEB087" w:rsidR="00D22681" w:rsidRPr="00B27719" w:rsidRDefault="00D22681">
            <w:pPr>
              <w:spacing w:line="240" w:lineRule="auto"/>
              <w:contextualSpacing w:val="0"/>
              <w:rPr>
                <w:b/>
                <w:sz w:val="24"/>
                <w:szCs w:val="24"/>
              </w:rPr>
            </w:pPr>
            <w:r w:rsidRPr="00B27719">
              <w:rPr>
                <w:rFonts w:eastAsia="Verdana"/>
                <w:b/>
                <w:sz w:val="24"/>
                <w:szCs w:val="24"/>
              </w:rPr>
              <w:lastRenderedPageBreak/>
              <w:t>10</w:t>
            </w:r>
          </w:p>
          <w:p w14:paraId="35C2404A" w14:textId="05B9490E"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0CCEB4C9" w14:textId="77777777" w:rsidR="00D22681" w:rsidRPr="00B27719" w:rsidRDefault="00D22681">
            <w:pPr>
              <w:spacing w:line="240" w:lineRule="auto"/>
              <w:contextualSpacing w:val="0"/>
              <w:rPr>
                <w:sz w:val="24"/>
                <w:szCs w:val="24"/>
              </w:rPr>
            </w:pPr>
            <w:r w:rsidRPr="00B27719">
              <w:rPr>
                <w:rFonts w:eastAsia="Verdana"/>
                <w:b/>
                <w:sz w:val="24"/>
                <w:szCs w:val="24"/>
              </w:rPr>
              <w:t>TERMINATION</w:t>
            </w:r>
            <w:r w:rsidRPr="00B27719">
              <w:rPr>
                <w:rFonts w:eastAsia="Verdana"/>
                <w:sz w:val="24"/>
                <w:szCs w:val="24"/>
              </w:rPr>
              <w:t>:</w:t>
            </w:r>
          </w:p>
          <w:p w14:paraId="5D1CD373" w14:textId="5207B59A" w:rsidR="00D22681" w:rsidRPr="00B27719" w:rsidRDefault="00D22681" w:rsidP="00657823">
            <w:pPr>
              <w:spacing w:line="240" w:lineRule="auto"/>
              <w:contextualSpacing w:val="0"/>
              <w:rPr>
                <w:sz w:val="24"/>
                <w:szCs w:val="24"/>
              </w:rPr>
            </w:pPr>
          </w:p>
        </w:tc>
      </w:tr>
      <w:tr w:rsidR="00D22681" w:rsidRPr="00B27719" w14:paraId="5383D28C" w14:textId="77777777" w:rsidTr="00D22681">
        <w:trPr>
          <w:trHeight w:val="538"/>
          <w:jc w:val="center"/>
        </w:trPr>
        <w:tc>
          <w:tcPr>
            <w:tcW w:w="1155" w:type="dxa"/>
            <w:tcMar>
              <w:top w:w="100" w:type="dxa"/>
              <w:left w:w="100" w:type="dxa"/>
              <w:bottom w:w="100" w:type="dxa"/>
              <w:right w:w="100" w:type="dxa"/>
            </w:tcMar>
          </w:tcPr>
          <w:p w14:paraId="3337EC31" w14:textId="1B7F7697" w:rsidR="00D22681" w:rsidRPr="00B27719" w:rsidRDefault="00D22681">
            <w:pPr>
              <w:spacing w:line="240" w:lineRule="auto"/>
              <w:contextualSpacing w:val="0"/>
              <w:rPr>
                <w:sz w:val="24"/>
                <w:szCs w:val="24"/>
              </w:rPr>
            </w:pPr>
            <w:r w:rsidRPr="00B27719">
              <w:rPr>
                <w:rFonts w:eastAsia="Verdana"/>
                <w:sz w:val="24"/>
                <w:szCs w:val="24"/>
              </w:rPr>
              <w:t>10.1</w:t>
            </w:r>
          </w:p>
        </w:tc>
        <w:tc>
          <w:tcPr>
            <w:tcW w:w="8175" w:type="dxa"/>
            <w:tcMar>
              <w:top w:w="100" w:type="dxa"/>
              <w:left w:w="100" w:type="dxa"/>
              <w:bottom w:w="100" w:type="dxa"/>
              <w:right w:w="100" w:type="dxa"/>
            </w:tcMar>
          </w:tcPr>
          <w:p w14:paraId="05BA34AF" w14:textId="4990BD3D" w:rsidR="00D22681" w:rsidRPr="00B27719" w:rsidRDefault="00D22681" w:rsidP="001F4FBD">
            <w:pPr>
              <w:spacing w:line="240" w:lineRule="auto"/>
              <w:contextualSpacing w:val="0"/>
              <w:rPr>
                <w:sz w:val="24"/>
                <w:szCs w:val="24"/>
              </w:rPr>
            </w:pPr>
            <w:r w:rsidRPr="00B27719">
              <w:rPr>
                <w:rFonts w:eastAsia="Verdana"/>
                <w:sz w:val="24"/>
                <w:szCs w:val="24"/>
              </w:rPr>
              <w:t>Each party shall have the right, without prejudice to its other rights or remedies, to terminate this Agreement immediately by notice to the other, if the other:</w:t>
            </w:r>
          </w:p>
        </w:tc>
      </w:tr>
      <w:tr w:rsidR="00D22681" w:rsidRPr="00B27719" w14:paraId="6FBA29F2" w14:textId="77777777">
        <w:trPr>
          <w:jc w:val="center"/>
        </w:trPr>
        <w:tc>
          <w:tcPr>
            <w:tcW w:w="1155" w:type="dxa"/>
            <w:tcMar>
              <w:top w:w="100" w:type="dxa"/>
              <w:left w:w="100" w:type="dxa"/>
              <w:bottom w:w="100" w:type="dxa"/>
              <w:right w:w="100" w:type="dxa"/>
            </w:tcMar>
          </w:tcPr>
          <w:p w14:paraId="50B8BA2E" w14:textId="00A4C513" w:rsidR="00D22681" w:rsidRPr="00B27719" w:rsidRDefault="00D22681">
            <w:pPr>
              <w:spacing w:line="240" w:lineRule="auto"/>
              <w:contextualSpacing w:val="0"/>
              <w:rPr>
                <w:sz w:val="24"/>
                <w:szCs w:val="24"/>
              </w:rPr>
            </w:pPr>
            <w:r w:rsidRPr="00B27719">
              <w:rPr>
                <w:rFonts w:eastAsia="Verdana"/>
                <w:sz w:val="24"/>
                <w:szCs w:val="24"/>
              </w:rPr>
              <w:t>10.1.1</w:t>
            </w:r>
          </w:p>
          <w:p w14:paraId="1DDEF016" w14:textId="77777777"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0CAD4EF1" w14:textId="69848FE2" w:rsidR="00D22681" w:rsidRPr="00B27719" w:rsidRDefault="00D22681">
            <w:pPr>
              <w:spacing w:line="240" w:lineRule="auto"/>
              <w:contextualSpacing w:val="0"/>
              <w:rPr>
                <w:sz w:val="24"/>
                <w:szCs w:val="24"/>
              </w:rPr>
            </w:pPr>
            <w:r w:rsidRPr="00B27719">
              <w:rPr>
                <w:rFonts w:eastAsia="Verdana"/>
                <w:sz w:val="24"/>
                <w:szCs w:val="24"/>
              </w:rPr>
              <w:t>is in material or persistent breach of any of its obligations under this Agreement and either that breach is incapable of remedy or that the other party has failed to remedy that breach within 30 days of receiving written notice requiring it to do so; or</w:t>
            </w:r>
          </w:p>
        </w:tc>
      </w:tr>
      <w:tr w:rsidR="00D22681" w:rsidRPr="00B27719" w14:paraId="72B58E83" w14:textId="77777777">
        <w:trPr>
          <w:jc w:val="center"/>
        </w:trPr>
        <w:tc>
          <w:tcPr>
            <w:tcW w:w="1155" w:type="dxa"/>
            <w:tcMar>
              <w:top w:w="100" w:type="dxa"/>
              <w:left w:w="100" w:type="dxa"/>
              <w:bottom w:w="100" w:type="dxa"/>
              <w:right w:w="100" w:type="dxa"/>
            </w:tcMar>
          </w:tcPr>
          <w:p w14:paraId="53E8242C" w14:textId="4C290C38" w:rsidR="00D22681" w:rsidRPr="00B27719" w:rsidRDefault="00D22681" w:rsidP="0041429D">
            <w:pPr>
              <w:spacing w:line="240" w:lineRule="auto"/>
              <w:contextualSpacing w:val="0"/>
              <w:rPr>
                <w:sz w:val="24"/>
                <w:szCs w:val="24"/>
              </w:rPr>
            </w:pPr>
            <w:r w:rsidRPr="00B27719">
              <w:rPr>
                <w:rFonts w:eastAsia="Verdana"/>
                <w:sz w:val="24"/>
                <w:szCs w:val="24"/>
              </w:rPr>
              <w:t>10.1.2</w:t>
            </w:r>
          </w:p>
        </w:tc>
        <w:tc>
          <w:tcPr>
            <w:tcW w:w="8175" w:type="dxa"/>
            <w:tcMar>
              <w:top w:w="100" w:type="dxa"/>
              <w:left w:w="100" w:type="dxa"/>
              <w:bottom w:w="100" w:type="dxa"/>
              <w:right w:w="100" w:type="dxa"/>
            </w:tcMar>
          </w:tcPr>
          <w:p w14:paraId="0BC07E2F" w14:textId="1B35780E" w:rsidR="00D22681" w:rsidRPr="00B27719" w:rsidRDefault="00D22681" w:rsidP="0041429D">
            <w:pPr>
              <w:spacing w:line="240" w:lineRule="auto"/>
              <w:contextualSpacing w:val="0"/>
              <w:rPr>
                <w:sz w:val="24"/>
                <w:szCs w:val="24"/>
              </w:rPr>
            </w:pPr>
            <w:r w:rsidRPr="00B27719">
              <w:rPr>
                <w:rFonts w:eastAsia="Verdana"/>
                <w:sz w:val="24"/>
                <w:szCs w:val="24"/>
              </w:rPr>
              <w:t>is unable to pay its debts (within the meaning of section 123 of the Insolvency Act 1986), or becomes insolvent, or is subject to an order or a resolution for its liquidation, administration, winding-up or dissolution (otherwise than for the purpose of a solvent amalgamation or reconstruction), or had an administrator or other receiver, manager, trustee, liquidator, administrator or similar officer appointed over all or any substantial part of its assets, or enters into or proposes any composition or arrangement with the creditors generally, or is subject to any analogous event or proceeding in any applicable jurisdiction.</w:t>
            </w:r>
          </w:p>
        </w:tc>
      </w:tr>
      <w:tr w:rsidR="00D22681" w:rsidRPr="00B27719" w14:paraId="3ED08EC7" w14:textId="77777777">
        <w:trPr>
          <w:jc w:val="center"/>
        </w:trPr>
        <w:tc>
          <w:tcPr>
            <w:tcW w:w="1155" w:type="dxa"/>
            <w:tcMar>
              <w:top w:w="100" w:type="dxa"/>
              <w:left w:w="100" w:type="dxa"/>
              <w:bottom w:w="100" w:type="dxa"/>
              <w:right w:w="100" w:type="dxa"/>
            </w:tcMar>
          </w:tcPr>
          <w:p w14:paraId="044BCCB9" w14:textId="282F8D8A" w:rsidR="00D22681" w:rsidRPr="00B27719" w:rsidRDefault="00D22681">
            <w:pPr>
              <w:spacing w:line="240" w:lineRule="auto"/>
              <w:contextualSpacing w:val="0"/>
              <w:rPr>
                <w:sz w:val="24"/>
                <w:szCs w:val="24"/>
              </w:rPr>
            </w:pPr>
            <w:r w:rsidRPr="00B27719">
              <w:rPr>
                <w:rFonts w:eastAsia="Verdana"/>
                <w:sz w:val="24"/>
                <w:szCs w:val="24"/>
              </w:rPr>
              <w:t>10.2</w:t>
            </w:r>
          </w:p>
          <w:p w14:paraId="3A2935B2" w14:textId="6D4B7EC9"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76268531" w14:textId="043C5963" w:rsidR="00D22681" w:rsidRPr="00B27719" w:rsidRDefault="00D22681">
            <w:pPr>
              <w:spacing w:line="240" w:lineRule="auto"/>
              <w:contextualSpacing w:val="0"/>
              <w:rPr>
                <w:sz w:val="24"/>
                <w:szCs w:val="24"/>
              </w:rPr>
            </w:pPr>
            <w:r w:rsidRPr="00B27719">
              <w:rPr>
                <w:rFonts w:eastAsia="Verdana"/>
                <w:sz w:val="24"/>
                <w:szCs w:val="24"/>
              </w:rPr>
              <w:t>Pearson shall have the right, without prejudice to its other rights or remedies, to terminate this Agreement immediately by notice to Institution if Institution:</w:t>
            </w:r>
          </w:p>
        </w:tc>
      </w:tr>
      <w:tr w:rsidR="00D22681" w:rsidRPr="00B27719" w14:paraId="6B24850B" w14:textId="77777777">
        <w:trPr>
          <w:jc w:val="center"/>
        </w:trPr>
        <w:tc>
          <w:tcPr>
            <w:tcW w:w="1155" w:type="dxa"/>
            <w:tcMar>
              <w:top w:w="100" w:type="dxa"/>
              <w:left w:w="100" w:type="dxa"/>
              <w:bottom w:w="100" w:type="dxa"/>
              <w:right w:w="100" w:type="dxa"/>
            </w:tcMar>
          </w:tcPr>
          <w:p w14:paraId="0CEC15CD" w14:textId="478BF3A9" w:rsidR="00D22681" w:rsidRPr="00B27719" w:rsidRDefault="00D22681">
            <w:pPr>
              <w:spacing w:line="240" w:lineRule="auto"/>
              <w:contextualSpacing w:val="0"/>
              <w:rPr>
                <w:sz w:val="24"/>
                <w:szCs w:val="24"/>
              </w:rPr>
            </w:pPr>
            <w:r w:rsidRPr="00B27719">
              <w:rPr>
                <w:rFonts w:eastAsia="Verdana"/>
                <w:sz w:val="24"/>
                <w:szCs w:val="24"/>
              </w:rPr>
              <w:t>10.2.1</w:t>
            </w:r>
          </w:p>
        </w:tc>
        <w:tc>
          <w:tcPr>
            <w:tcW w:w="8175" w:type="dxa"/>
            <w:tcMar>
              <w:top w:w="100" w:type="dxa"/>
              <w:left w:w="100" w:type="dxa"/>
              <w:bottom w:w="100" w:type="dxa"/>
              <w:right w:w="100" w:type="dxa"/>
            </w:tcMar>
          </w:tcPr>
          <w:p w14:paraId="08B38C92" w14:textId="3BA06426" w:rsidR="00D22681" w:rsidRPr="00B27719" w:rsidRDefault="00D22681" w:rsidP="0041429D">
            <w:pPr>
              <w:spacing w:line="240" w:lineRule="auto"/>
              <w:contextualSpacing w:val="0"/>
              <w:rPr>
                <w:sz w:val="24"/>
                <w:szCs w:val="24"/>
              </w:rPr>
            </w:pPr>
            <w:r w:rsidRPr="00B27719">
              <w:rPr>
                <w:rFonts w:eastAsia="Verdana"/>
                <w:sz w:val="24"/>
                <w:szCs w:val="24"/>
              </w:rPr>
              <w:t>undergoes a change of control; or</w:t>
            </w:r>
          </w:p>
        </w:tc>
      </w:tr>
      <w:tr w:rsidR="00D22681" w:rsidRPr="00B27719" w14:paraId="0D02A971" w14:textId="77777777">
        <w:trPr>
          <w:jc w:val="center"/>
        </w:trPr>
        <w:tc>
          <w:tcPr>
            <w:tcW w:w="1155" w:type="dxa"/>
            <w:tcMar>
              <w:top w:w="100" w:type="dxa"/>
              <w:left w:w="100" w:type="dxa"/>
              <w:bottom w:w="100" w:type="dxa"/>
              <w:right w:w="100" w:type="dxa"/>
            </w:tcMar>
          </w:tcPr>
          <w:p w14:paraId="6A5BAE8E" w14:textId="5F0F7941" w:rsidR="00D22681" w:rsidRPr="00B27719" w:rsidRDefault="00D22681">
            <w:pPr>
              <w:spacing w:line="240" w:lineRule="auto"/>
              <w:contextualSpacing w:val="0"/>
              <w:rPr>
                <w:sz w:val="24"/>
                <w:szCs w:val="24"/>
              </w:rPr>
            </w:pPr>
            <w:r w:rsidRPr="00B27719">
              <w:rPr>
                <w:rFonts w:eastAsia="Verdana"/>
                <w:sz w:val="24"/>
                <w:szCs w:val="24"/>
              </w:rPr>
              <w:t>10.2.2</w:t>
            </w:r>
          </w:p>
        </w:tc>
        <w:tc>
          <w:tcPr>
            <w:tcW w:w="8175" w:type="dxa"/>
            <w:tcMar>
              <w:top w:w="100" w:type="dxa"/>
              <w:left w:w="100" w:type="dxa"/>
              <w:bottom w:w="100" w:type="dxa"/>
              <w:right w:w="100" w:type="dxa"/>
            </w:tcMar>
          </w:tcPr>
          <w:p w14:paraId="5A4465CF" w14:textId="74E16A5B" w:rsidR="00D22681" w:rsidRPr="00B27719" w:rsidRDefault="00D22681">
            <w:pPr>
              <w:spacing w:line="240" w:lineRule="auto"/>
              <w:contextualSpacing w:val="0"/>
              <w:rPr>
                <w:sz w:val="24"/>
                <w:szCs w:val="24"/>
              </w:rPr>
            </w:pPr>
            <w:r w:rsidRPr="00B27719">
              <w:rPr>
                <w:rFonts w:eastAsia="Verdana"/>
                <w:sz w:val="24"/>
                <w:szCs w:val="24"/>
              </w:rPr>
              <w:t>sells all of its assets or is merged or reorganised in circumstances where it is not the surviving entity; or</w:t>
            </w:r>
          </w:p>
        </w:tc>
      </w:tr>
      <w:tr w:rsidR="00D22681" w:rsidRPr="00B27719" w14:paraId="1AB93F8C" w14:textId="77777777">
        <w:trPr>
          <w:jc w:val="center"/>
        </w:trPr>
        <w:tc>
          <w:tcPr>
            <w:tcW w:w="1155" w:type="dxa"/>
            <w:tcMar>
              <w:top w:w="100" w:type="dxa"/>
              <w:left w:w="100" w:type="dxa"/>
              <w:bottom w:w="100" w:type="dxa"/>
              <w:right w:w="100" w:type="dxa"/>
            </w:tcMar>
          </w:tcPr>
          <w:p w14:paraId="21E33FAA" w14:textId="4A305C0C" w:rsidR="00D22681" w:rsidRPr="00B27719" w:rsidRDefault="00D22681" w:rsidP="00D22681">
            <w:pPr>
              <w:spacing w:line="240" w:lineRule="auto"/>
              <w:contextualSpacing w:val="0"/>
              <w:rPr>
                <w:sz w:val="24"/>
                <w:szCs w:val="24"/>
              </w:rPr>
            </w:pPr>
            <w:r w:rsidRPr="00B27719">
              <w:rPr>
                <w:rFonts w:eastAsia="Verdana"/>
                <w:sz w:val="24"/>
                <w:szCs w:val="24"/>
              </w:rPr>
              <w:t>10.2.3</w:t>
            </w:r>
          </w:p>
        </w:tc>
        <w:tc>
          <w:tcPr>
            <w:tcW w:w="8175" w:type="dxa"/>
            <w:tcMar>
              <w:top w:w="100" w:type="dxa"/>
              <w:left w:w="100" w:type="dxa"/>
              <w:bottom w:w="100" w:type="dxa"/>
              <w:right w:w="100" w:type="dxa"/>
            </w:tcMar>
          </w:tcPr>
          <w:p w14:paraId="049D1EF5" w14:textId="1DB52CA4" w:rsidR="00D22681" w:rsidRPr="00B27719" w:rsidRDefault="00D22681">
            <w:pPr>
              <w:spacing w:line="240" w:lineRule="auto"/>
              <w:contextualSpacing w:val="0"/>
              <w:rPr>
                <w:sz w:val="24"/>
                <w:szCs w:val="24"/>
              </w:rPr>
            </w:pPr>
            <w:r w:rsidRPr="00B27719">
              <w:rPr>
                <w:rFonts w:eastAsia="Verdana"/>
                <w:sz w:val="24"/>
                <w:szCs w:val="24"/>
              </w:rPr>
              <w:t>ceases to possess Taught Degree Awarding Powers; or</w:t>
            </w:r>
          </w:p>
        </w:tc>
      </w:tr>
      <w:tr w:rsidR="00D22681" w:rsidRPr="00B27719" w14:paraId="7BE25EB8" w14:textId="77777777">
        <w:trPr>
          <w:jc w:val="center"/>
        </w:trPr>
        <w:tc>
          <w:tcPr>
            <w:tcW w:w="1155" w:type="dxa"/>
            <w:tcMar>
              <w:top w:w="100" w:type="dxa"/>
              <w:left w:w="100" w:type="dxa"/>
              <w:bottom w:w="100" w:type="dxa"/>
              <w:right w:w="100" w:type="dxa"/>
            </w:tcMar>
          </w:tcPr>
          <w:p w14:paraId="4FC7AD95" w14:textId="754EB567" w:rsidR="00D22681" w:rsidRPr="00B27719" w:rsidRDefault="00D22681" w:rsidP="001F4FBD">
            <w:pPr>
              <w:spacing w:line="240" w:lineRule="auto"/>
              <w:contextualSpacing w:val="0"/>
              <w:rPr>
                <w:sz w:val="24"/>
                <w:szCs w:val="24"/>
              </w:rPr>
            </w:pPr>
            <w:r w:rsidRPr="00B27719">
              <w:rPr>
                <w:rFonts w:eastAsia="Verdana"/>
                <w:sz w:val="24"/>
                <w:szCs w:val="24"/>
              </w:rPr>
              <w:t>10.2.4</w:t>
            </w:r>
          </w:p>
        </w:tc>
        <w:tc>
          <w:tcPr>
            <w:tcW w:w="8175" w:type="dxa"/>
            <w:tcMar>
              <w:top w:w="100" w:type="dxa"/>
              <w:left w:w="100" w:type="dxa"/>
              <w:bottom w:w="100" w:type="dxa"/>
              <w:right w:w="100" w:type="dxa"/>
            </w:tcMar>
          </w:tcPr>
          <w:p w14:paraId="52AE182D" w14:textId="6BAA2025" w:rsidR="00D22681" w:rsidRPr="00B27719" w:rsidRDefault="00D22681">
            <w:pPr>
              <w:spacing w:line="240" w:lineRule="auto"/>
              <w:contextualSpacing w:val="0"/>
              <w:rPr>
                <w:sz w:val="24"/>
                <w:szCs w:val="24"/>
              </w:rPr>
            </w:pPr>
            <w:r w:rsidRPr="00B27719">
              <w:rPr>
                <w:rFonts w:eastAsia="Verdana"/>
                <w:sz w:val="24"/>
                <w:szCs w:val="24"/>
              </w:rPr>
              <w:t>fails to maintain appropriate quality assurance standards or fails to rectify any issues of concern legitimately raised by Pearson as referred to in clause 4.6 above.</w:t>
            </w:r>
          </w:p>
        </w:tc>
      </w:tr>
      <w:tr w:rsidR="00D22681" w:rsidRPr="00B27719" w14:paraId="4EE2254B" w14:textId="77777777">
        <w:trPr>
          <w:jc w:val="center"/>
        </w:trPr>
        <w:tc>
          <w:tcPr>
            <w:tcW w:w="1155" w:type="dxa"/>
            <w:tcMar>
              <w:top w:w="100" w:type="dxa"/>
              <w:left w:w="100" w:type="dxa"/>
              <w:bottom w:w="100" w:type="dxa"/>
              <w:right w:w="100" w:type="dxa"/>
            </w:tcMar>
          </w:tcPr>
          <w:p w14:paraId="04E5315B" w14:textId="6C606C87" w:rsidR="00D22681" w:rsidRPr="00B27719" w:rsidRDefault="00D22681">
            <w:pPr>
              <w:spacing w:line="240" w:lineRule="auto"/>
              <w:contextualSpacing w:val="0"/>
              <w:rPr>
                <w:sz w:val="24"/>
                <w:szCs w:val="24"/>
              </w:rPr>
            </w:pPr>
            <w:r w:rsidRPr="00B27719">
              <w:rPr>
                <w:rFonts w:eastAsia="Verdana"/>
                <w:sz w:val="24"/>
                <w:szCs w:val="24"/>
              </w:rPr>
              <w:t>10.3</w:t>
            </w:r>
          </w:p>
        </w:tc>
        <w:tc>
          <w:tcPr>
            <w:tcW w:w="8175" w:type="dxa"/>
            <w:tcMar>
              <w:top w:w="100" w:type="dxa"/>
              <w:left w:w="100" w:type="dxa"/>
              <w:bottom w:w="100" w:type="dxa"/>
              <w:right w:w="100" w:type="dxa"/>
            </w:tcMar>
          </w:tcPr>
          <w:p w14:paraId="763E4B78" w14:textId="770A23A1" w:rsidR="00D22681" w:rsidRPr="00B27719" w:rsidRDefault="00D22681">
            <w:pPr>
              <w:spacing w:line="240" w:lineRule="auto"/>
              <w:contextualSpacing w:val="0"/>
              <w:rPr>
                <w:sz w:val="24"/>
                <w:szCs w:val="24"/>
              </w:rPr>
            </w:pPr>
            <w:r w:rsidRPr="00B27719">
              <w:rPr>
                <w:rFonts w:eastAsia="Verdana"/>
                <w:sz w:val="24"/>
                <w:szCs w:val="24"/>
              </w:rPr>
              <w:t>Pearson shall have the right to terminate this Agreement in its entirety or in respect of Pearson IP for individual Pearson Qualification(s) for any reason on twelve months’ notice to Institution.</w:t>
            </w:r>
          </w:p>
        </w:tc>
      </w:tr>
      <w:tr w:rsidR="00D22681" w:rsidRPr="00B27719" w14:paraId="1FFD31B8" w14:textId="77777777">
        <w:trPr>
          <w:jc w:val="center"/>
        </w:trPr>
        <w:tc>
          <w:tcPr>
            <w:tcW w:w="1155" w:type="dxa"/>
            <w:tcMar>
              <w:top w:w="100" w:type="dxa"/>
              <w:left w:w="100" w:type="dxa"/>
              <w:bottom w:w="100" w:type="dxa"/>
              <w:right w:w="100" w:type="dxa"/>
            </w:tcMar>
          </w:tcPr>
          <w:p w14:paraId="54BD7AE6" w14:textId="33148A07" w:rsidR="00D22681" w:rsidRPr="00B27719" w:rsidRDefault="00D22681" w:rsidP="001F4FBD">
            <w:pPr>
              <w:spacing w:line="240" w:lineRule="auto"/>
              <w:contextualSpacing w:val="0"/>
              <w:rPr>
                <w:sz w:val="24"/>
                <w:szCs w:val="24"/>
              </w:rPr>
            </w:pPr>
            <w:r w:rsidRPr="00B27719">
              <w:rPr>
                <w:rFonts w:eastAsia="Verdana"/>
                <w:sz w:val="24"/>
                <w:szCs w:val="24"/>
              </w:rPr>
              <w:t>10.4</w:t>
            </w:r>
          </w:p>
        </w:tc>
        <w:tc>
          <w:tcPr>
            <w:tcW w:w="8175" w:type="dxa"/>
            <w:tcMar>
              <w:top w:w="100" w:type="dxa"/>
              <w:left w:w="100" w:type="dxa"/>
              <w:bottom w:w="100" w:type="dxa"/>
              <w:right w:w="100" w:type="dxa"/>
            </w:tcMar>
          </w:tcPr>
          <w:p w14:paraId="7DDCF057" w14:textId="2B34D481" w:rsidR="00D22681" w:rsidRPr="00B27719" w:rsidRDefault="00D22681">
            <w:pPr>
              <w:spacing w:line="240" w:lineRule="auto"/>
              <w:contextualSpacing w:val="0"/>
              <w:rPr>
                <w:sz w:val="24"/>
                <w:szCs w:val="24"/>
              </w:rPr>
            </w:pPr>
            <w:r w:rsidRPr="00B27719">
              <w:rPr>
                <w:rFonts w:eastAsia="Verdana"/>
                <w:sz w:val="24"/>
                <w:szCs w:val="24"/>
              </w:rPr>
              <w:t>On termination of this Agreement for any reason, or upon withdrawal of approval for an individual Higher National Qualification:</w:t>
            </w:r>
            <w:r w:rsidRPr="00B27719">
              <w:rPr>
                <w:rFonts w:eastAsia="Verdana"/>
                <w:color w:val="FF0000"/>
                <w:sz w:val="24"/>
                <w:szCs w:val="24"/>
              </w:rPr>
              <w:t xml:space="preserve"> </w:t>
            </w:r>
          </w:p>
        </w:tc>
      </w:tr>
      <w:tr w:rsidR="00D22681" w:rsidRPr="00B27719" w14:paraId="2EFAA8A3" w14:textId="77777777">
        <w:trPr>
          <w:jc w:val="center"/>
        </w:trPr>
        <w:tc>
          <w:tcPr>
            <w:tcW w:w="1155" w:type="dxa"/>
            <w:tcMar>
              <w:top w:w="100" w:type="dxa"/>
              <w:left w:w="100" w:type="dxa"/>
              <w:bottom w:w="100" w:type="dxa"/>
              <w:right w:w="100" w:type="dxa"/>
            </w:tcMar>
          </w:tcPr>
          <w:p w14:paraId="50A04F21" w14:textId="3B2E9F30" w:rsidR="00D22681" w:rsidRPr="00B27719" w:rsidRDefault="00D22681">
            <w:pPr>
              <w:spacing w:line="240" w:lineRule="auto"/>
              <w:contextualSpacing w:val="0"/>
              <w:rPr>
                <w:sz w:val="24"/>
                <w:szCs w:val="24"/>
              </w:rPr>
            </w:pPr>
            <w:r w:rsidRPr="00B27719">
              <w:rPr>
                <w:rFonts w:eastAsia="Verdana"/>
                <w:sz w:val="24"/>
                <w:szCs w:val="24"/>
              </w:rPr>
              <w:t>10.4.1</w:t>
            </w:r>
          </w:p>
          <w:p w14:paraId="4F6919EA" w14:textId="24C91110" w:rsidR="00D22681" w:rsidRPr="00B27719" w:rsidRDefault="00D22681" w:rsidP="001F4FBD">
            <w:pPr>
              <w:spacing w:line="240" w:lineRule="auto"/>
              <w:contextualSpacing w:val="0"/>
              <w:rPr>
                <w:sz w:val="24"/>
                <w:szCs w:val="24"/>
              </w:rPr>
            </w:pPr>
          </w:p>
        </w:tc>
        <w:tc>
          <w:tcPr>
            <w:tcW w:w="8175" w:type="dxa"/>
            <w:tcMar>
              <w:top w:w="100" w:type="dxa"/>
              <w:left w:w="100" w:type="dxa"/>
              <w:bottom w:w="100" w:type="dxa"/>
              <w:right w:w="100" w:type="dxa"/>
            </w:tcMar>
          </w:tcPr>
          <w:p w14:paraId="0E13F715" w14:textId="2F3B2E13" w:rsidR="00D22681" w:rsidRPr="00B27719" w:rsidRDefault="00D22681" w:rsidP="00FD46C3">
            <w:pPr>
              <w:spacing w:line="240" w:lineRule="auto"/>
              <w:contextualSpacing w:val="0"/>
              <w:rPr>
                <w:sz w:val="24"/>
                <w:szCs w:val="24"/>
              </w:rPr>
            </w:pPr>
            <w:r w:rsidRPr="00B27719">
              <w:rPr>
                <w:rFonts w:eastAsia="Verdana"/>
                <w:sz w:val="24"/>
                <w:szCs w:val="24"/>
              </w:rPr>
              <w:t>Institution shall immediately pay to Pearson all of Pearson’s outstanding unpaid invoices and interest and, in respect of registrations for which no invoice has been submitted, Pearson may submit an invoice which shall be payable immediately on receipt;</w:t>
            </w:r>
          </w:p>
        </w:tc>
      </w:tr>
      <w:tr w:rsidR="00D22681" w:rsidRPr="00B27719" w14:paraId="62E8825D" w14:textId="77777777" w:rsidTr="00D22681">
        <w:trPr>
          <w:trHeight w:val="367"/>
          <w:jc w:val="center"/>
        </w:trPr>
        <w:tc>
          <w:tcPr>
            <w:tcW w:w="1155" w:type="dxa"/>
            <w:tcMar>
              <w:top w:w="100" w:type="dxa"/>
              <w:left w:w="100" w:type="dxa"/>
              <w:bottom w:w="100" w:type="dxa"/>
              <w:right w:w="100" w:type="dxa"/>
            </w:tcMar>
          </w:tcPr>
          <w:p w14:paraId="466D1B1D" w14:textId="069DBF4B" w:rsidR="00D22681" w:rsidRPr="00B27719" w:rsidRDefault="00D22681">
            <w:pPr>
              <w:spacing w:line="240" w:lineRule="auto"/>
              <w:contextualSpacing w:val="0"/>
              <w:rPr>
                <w:sz w:val="24"/>
                <w:szCs w:val="24"/>
              </w:rPr>
            </w:pPr>
            <w:r w:rsidRPr="00B27719">
              <w:rPr>
                <w:rFonts w:eastAsia="Verdana"/>
                <w:sz w:val="24"/>
                <w:szCs w:val="24"/>
              </w:rPr>
              <w:lastRenderedPageBreak/>
              <w:t>10.4.2</w:t>
            </w:r>
          </w:p>
        </w:tc>
        <w:tc>
          <w:tcPr>
            <w:tcW w:w="8175" w:type="dxa"/>
            <w:tcMar>
              <w:top w:w="100" w:type="dxa"/>
              <w:left w:w="100" w:type="dxa"/>
              <w:bottom w:w="100" w:type="dxa"/>
              <w:right w:w="100" w:type="dxa"/>
            </w:tcMar>
          </w:tcPr>
          <w:p w14:paraId="7D8498D8" w14:textId="24CA3679" w:rsidR="00D22681" w:rsidRPr="00B27719" w:rsidRDefault="00D22681">
            <w:pPr>
              <w:spacing w:line="240" w:lineRule="auto"/>
              <w:contextualSpacing w:val="0"/>
              <w:rPr>
                <w:sz w:val="24"/>
                <w:szCs w:val="24"/>
              </w:rPr>
            </w:pPr>
            <w:r w:rsidRPr="00B27719">
              <w:rPr>
                <w:rFonts w:eastAsia="Verdana"/>
                <w:sz w:val="24"/>
                <w:szCs w:val="24"/>
              </w:rPr>
              <w:t>the parties shall cooperate to take such reasonable steps as may be available to ensure that the relevant Programmes are carried on with a minimum of interruptions and inconvenience to students then registered as taking that Programme;</w:t>
            </w:r>
          </w:p>
        </w:tc>
      </w:tr>
      <w:tr w:rsidR="00D22681" w:rsidRPr="00B27719" w14:paraId="3C12881F" w14:textId="77777777">
        <w:trPr>
          <w:jc w:val="center"/>
        </w:trPr>
        <w:tc>
          <w:tcPr>
            <w:tcW w:w="1155" w:type="dxa"/>
            <w:tcMar>
              <w:top w:w="100" w:type="dxa"/>
              <w:left w:w="100" w:type="dxa"/>
              <w:bottom w:w="100" w:type="dxa"/>
              <w:right w:w="100" w:type="dxa"/>
            </w:tcMar>
          </w:tcPr>
          <w:p w14:paraId="05007C68" w14:textId="2BFC337D" w:rsidR="00D22681" w:rsidRPr="00B27719" w:rsidRDefault="00D22681">
            <w:pPr>
              <w:spacing w:line="240" w:lineRule="auto"/>
              <w:contextualSpacing w:val="0"/>
              <w:rPr>
                <w:sz w:val="24"/>
                <w:szCs w:val="24"/>
              </w:rPr>
            </w:pPr>
            <w:r w:rsidRPr="00B27719">
              <w:rPr>
                <w:rFonts w:eastAsia="Verdana"/>
                <w:sz w:val="24"/>
                <w:szCs w:val="24"/>
              </w:rPr>
              <w:t>10.4.3</w:t>
            </w:r>
          </w:p>
          <w:p w14:paraId="0CDE1935" w14:textId="7C9897B2" w:rsidR="00D22681" w:rsidRPr="00B27719" w:rsidRDefault="00D22681" w:rsidP="001F4FBD">
            <w:pPr>
              <w:spacing w:line="240" w:lineRule="auto"/>
              <w:contextualSpacing w:val="0"/>
              <w:rPr>
                <w:sz w:val="24"/>
                <w:szCs w:val="24"/>
              </w:rPr>
            </w:pPr>
          </w:p>
        </w:tc>
        <w:tc>
          <w:tcPr>
            <w:tcW w:w="8175" w:type="dxa"/>
            <w:tcMar>
              <w:top w:w="100" w:type="dxa"/>
              <w:left w:w="100" w:type="dxa"/>
              <w:bottom w:w="100" w:type="dxa"/>
              <w:right w:w="100" w:type="dxa"/>
            </w:tcMar>
          </w:tcPr>
          <w:p w14:paraId="3C69A603" w14:textId="742096A5" w:rsidR="00D22681" w:rsidRPr="00B27719" w:rsidRDefault="00D22681">
            <w:pPr>
              <w:spacing w:line="240" w:lineRule="auto"/>
              <w:contextualSpacing w:val="0"/>
              <w:rPr>
                <w:sz w:val="24"/>
                <w:szCs w:val="24"/>
              </w:rPr>
            </w:pPr>
            <w:r w:rsidRPr="00B27719">
              <w:rPr>
                <w:rFonts w:eastAsia="Verdana"/>
                <w:sz w:val="24"/>
                <w:szCs w:val="24"/>
              </w:rPr>
              <w:t>Institution shall not offer, promote,  register or enrol any new students on the Programme(s) or the Higher National Qualification(s) which has/have been terminated or withdrawn;</w:t>
            </w:r>
          </w:p>
        </w:tc>
      </w:tr>
      <w:tr w:rsidR="00D22681" w:rsidRPr="00B27719" w14:paraId="29EB8F5B" w14:textId="77777777">
        <w:trPr>
          <w:jc w:val="center"/>
        </w:trPr>
        <w:tc>
          <w:tcPr>
            <w:tcW w:w="1155" w:type="dxa"/>
            <w:tcMar>
              <w:top w:w="100" w:type="dxa"/>
              <w:left w:w="100" w:type="dxa"/>
              <w:bottom w:w="100" w:type="dxa"/>
              <w:right w:w="100" w:type="dxa"/>
            </w:tcMar>
          </w:tcPr>
          <w:p w14:paraId="2DFCEE98" w14:textId="6BE2E5BB" w:rsidR="00D22681" w:rsidRPr="00B27719" w:rsidRDefault="00D22681" w:rsidP="001F4FBD">
            <w:pPr>
              <w:spacing w:line="240" w:lineRule="auto"/>
              <w:contextualSpacing w:val="0"/>
              <w:rPr>
                <w:sz w:val="24"/>
                <w:szCs w:val="24"/>
              </w:rPr>
            </w:pPr>
            <w:r w:rsidRPr="00B27719">
              <w:rPr>
                <w:rFonts w:eastAsia="Verdana"/>
                <w:sz w:val="24"/>
                <w:szCs w:val="24"/>
              </w:rPr>
              <w:t>10.4.4</w:t>
            </w:r>
          </w:p>
        </w:tc>
        <w:tc>
          <w:tcPr>
            <w:tcW w:w="8175" w:type="dxa"/>
            <w:tcMar>
              <w:top w:w="100" w:type="dxa"/>
              <w:left w:w="100" w:type="dxa"/>
              <w:bottom w:w="100" w:type="dxa"/>
              <w:right w:w="100" w:type="dxa"/>
            </w:tcMar>
          </w:tcPr>
          <w:p w14:paraId="5B5A152F" w14:textId="3E382B3C" w:rsidR="00D22681" w:rsidRPr="00B27719" w:rsidRDefault="00D22681">
            <w:pPr>
              <w:spacing w:line="240" w:lineRule="auto"/>
              <w:contextualSpacing w:val="0"/>
              <w:rPr>
                <w:sz w:val="24"/>
                <w:szCs w:val="24"/>
              </w:rPr>
            </w:pPr>
            <w:r w:rsidRPr="00B27719">
              <w:rPr>
                <w:rFonts w:eastAsia="Verdana"/>
                <w:sz w:val="24"/>
                <w:szCs w:val="24"/>
              </w:rPr>
              <w:t>all rights granted to Institution hereunder will immediately terminate, other than is necessary solely in order to allow Institution to comply with its teach out commitments to currently enrolled students.  For the avoidance of doubt, at the end of the teach out period Institution may make no further use of the Pearson IP or Pearson Qualification Title which relate to the Programme or Higher National Qualification that has been terminated or withdrawn;</w:t>
            </w:r>
          </w:p>
        </w:tc>
      </w:tr>
      <w:tr w:rsidR="00D22681" w:rsidRPr="00B27719" w14:paraId="01E7C93C" w14:textId="77777777">
        <w:trPr>
          <w:jc w:val="center"/>
        </w:trPr>
        <w:tc>
          <w:tcPr>
            <w:tcW w:w="1155" w:type="dxa"/>
            <w:tcMar>
              <w:top w:w="100" w:type="dxa"/>
              <w:left w:w="100" w:type="dxa"/>
              <w:bottom w:w="100" w:type="dxa"/>
              <w:right w:w="100" w:type="dxa"/>
            </w:tcMar>
          </w:tcPr>
          <w:p w14:paraId="4CE76362" w14:textId="22CF0E91" w:rsidR="00D22681" w:rsidRPr="00B27719" w:rsidRDefault="00D22681" w:rsidP="001F4FBD">
            <w:pPr>
              <w:spacing w:line="240" w:lineRule="auto"/>
              <w:contextualSpacing w:val="0"/>
              <w:rPr>
                <w:sz w:val="24"/>
                <w:szCs w:val="24"/>
              </w:rPr>
            </w:pPr>
            <w:r w:rsidRPr="00B27719">
              <w:rPr>
                <w:rFonts w:eastAsia="Verdana"/>
                <w:sz w:val="24"/>
                <w:szCs w:val="24"/>
              </w:rPr>
              <w:t>10.4.5</w:t>
            </w:r>
          </w:p>
        </w:tc>
        <w:tc>
          <w:tcPr>
            <w:tcW w:w="8175" w:type="dxa"/>
            <w:tcMar>
              <w:top w:w="100" w:type="dxa"/>
              <w:left w:w="100" w:type="dxa"/>
              <w:bottom w:w="100" w:type="dxa"/>
              <w:right w:w="100" w:type="dxa"/>
            </w:tcMar>
          </w:tcPr>
          <w:p w14:paraId="1FD322B9" w14:textId="1C02D626" w:rsidR="00D22681" w:rsidRPr="00B27719" w:rsidRDefault="00D22681" w:rsidP="0041429D">
            <w:pPr>
              <w:spacing w:line="240" w:lineRule="auto"/>
              <w:contextualSpacing w:val="0"/>
              <w:rPr>
                <w:sz w:val="24"/>
                <w:szCs w:val="24"/>
              </w:rPr>
            </w:pPr>
            <w:r w:rsidRPr="00B27719">
              <w:rPr>
                <w:rFonts w:eastAsia="Verdana"/>
                <w:sz w:val="24"/>
                <w:szCs w:val="24"/>
              </w:rPr>
              <w:t>the accrued rights of the parties as at termination and the continuation of any provision expressly stated to survive or implicitly surviving termination shall not be affected.</w:t>
            </w:r>
          </w:p>
        </w:tc>
      </w:tr>
      <w:tr w:rsidR="00D22681" w:rsidRPr="00B27719" w14:paraId="69ACFF69" w14:textId="77777777">
        <w:trPr>
          <w:jc w:val="center"/>
        </w:trPr>
        <w:tc>
          <w:tcPr>
            <w:tcW w:w="1155" w:type="dxa"/>
            <w:tcMar>
              <w:top w:w="100" w:type="dxa"/>
              <w:left w:w="100" w:type="dxa"/>
              <w:bottom w:w="100" w:type="dxa"/>
              <w:right w:w="100" w:type="dxa"/>
            </w:tcMar>
          </w:tcPr>
          <w:p w14:paraId="3F69CF90" w14:textId="65E2F0A8" w:rsidR="00D22681" w:rsidRPr="00B27719" w:rsidRDefault="00D22681">
            <w:pPr>
              <w:spacing w:line="240" w:lineRule="auto"/>
              <w:contextualSpacing w:val="0"/>
              <w:rPr>
                <w:b/>
                <w:sz w:val="24"/>
                <w:szCs w:val="24"/>
              </w:rPr>
            </w:pPr>
            <w:r w:rsidRPr="00B27719">
              <w:rPr>
                <w:rFonts w:eastAsia="Verdana"/>
                <w:b/>
                <w:sz w:val="24"/>
                <w:szCs w:val="24"/>
              </w:rPr>
              <w:t>11</w:t>
            </w:r>
          </w:p>
        </w:tc>
        <w:tc>
          <w:tcPr>
            <w:tcW w:w="8175" w:type="dxa"/>
            <w:tcMar>
              <w:top w:w="100" w:type="dxa"/>
              <w:left w:w="100" w:type="dxa"/>
              <w:bottom w:w="100" w:type="dxa"/>
              <w:right w:w="100" w:type="dxa"/>
            </w:tcMar>
          </w:tcPr>
          <w:p w14:paraId="594C92EA" w14:textId="454BD98A" w:rsidR="00D22681" w:rsidRPr="00B27719" w:rsidRDefault="00D22681" w:rsidP="00FA66D3">
            <w:pPr>
              <w:spacing w:line="240" w:lineRule="auto"/>
              <w:contextualSpacing w:val="0"/>
              <w:rPr>
                <w:sz w:val="24"/>
                <w:szCs w:val="24"/>
              </w:rPr>
            </w:pPr>
            <w:r w:rsidRPr="00B27719">
              <w:rPr>
                <w:rFonts w:eastAsia="Verdana"/>
                <w:b/>
                <w:sz w:val="24"/>
                <w:szCs w:val="24"/>
              </w:rPr>
              <w:t>CONFIDENTIALITY</w:t>
            </w:r>
            <w:r w:rsidRPr="00B27719">
              <w:rPr>
                <w:rFonts w:eastAsia="Verdana"/>
                <w:sz w:val="24"/>
                <w:szCs w:val="24"/>
              </w:rPr>
              <w:t>:</w:t>
            </w:r>
          </w:p>
        </w:tc>
      </w:tr>
      <w:tr w:rsidR="00D22681" w:rsidRPr="00B27719" w14:paraId="51BAB86D" w14:textId="77777777">
        <w:trPr>
          <w:jc w:val="center"/>
        </w:trPr>
        <w:tc>
          <w:tcPr>
            <w:tcW w:w="1155" w:type="dxa"/>
            <w:tcMar>
              <w:top w:w="100" w:type="dxa"/>
              <w:left w:w="100" w:type="dxa"/>
              <w:bottom w:w="100" w:type="dxa"/>
              <w:right w:w="100" w:type="dxa"/>
            </w:tcMar>
          </w:tcPr>
          <w:p w14:paraId="2CCF4845" w14:textId="1237ED98" w:rsidR="00D22681" w:rsidRPr="00B27719" w:rsidRDefault="00D22681" w:rsidP="001F4FBD">
            <w:pPr>
              <w:spacing w:line="240" w:lineRule="auto"/>
              <w:contextualSpacing w:val="0"/>
              <w:rPr>
                <w:sz w:val="24"/>
                <w:szCs w:val="24"/>
              </w:rPr>
            </w:pPr>
            <w:r w:rsidRPr="00B27719">
              <w:rPr>
                <w:rFonts w:eastAsia="Verdana"/>
                <w:sz w:val="24"/>
                <w:szCs w:val="24"/>
              </w:rPr>
              <w:t xml:space="preserve">11.1 </w:t>
            </w:r>
          </w:p>
        </w:tc>
        <w:tc>
          <w:tcPr>
            <w:tcW w:w="8175" w:type="dxa"/>
            <w:tcMar>
              <w:top w:w="100" w:type="dxa"/>
              <w:left w:w="100" w:type="dxa"/>
              <w:bottom w:w="100" w:type="dxa"/>
              <w:right w:w="100" w:type="dxa"/>
            </w:tcMar>
          </w:tcPr>
          <w:p w14:paraId="271452D7" w14:textId="5C112A4E" w:rsidR="00D22681" w:rsidRPr="00B27719" w:rsidRDefault="00D22681">
            <w:pPr>
              <w:spacing w:line="240" w:lineRule="auto"/>
              <w:contextualSpacing w:val="0"/>
              <w:rPr>
                <w:sz w:val="24"/>
                <w:szCs w:val="24"/>
              </w:rPr>
            </w:pPr>
            <w:r w:rsidRPr="00B27719">
              <w:rPr>
                <w:rFonts w:eastAsia="Verdana"/>
                <w:sz w:val="24"/>
                <w:szCs w:val="24"/>
              </w:rPr>
              <w:t>Each party agrees:</w:t>
            </w:r>
          </w:p>
        </w:tc>
      </w:tr>
      <w:tr w:rsidR="00D22681" w:rsidRPr="00B27719" w14:paraId="2775E2B1" w14:textId="77777777">
        <w:trPr>
          <w:jc w:val="center"/>
        </w:trPr>
        <w:tc>
          <w:tcPr>
            <w:tcW w:w="1155" w:type="dxa"/>
            <w:tcMar>
              <w:top w:w="100" w:type="dxa"/>
              <w:left w:w="100" w:type="dxa"/>
              <w:bottom w:w="100" w:type="dxa"/>
              <w:right w:w="100" w:type="dxa"/>
            </w:tcMar>
          </w:tcPr>
          <w:p w14:paraId="1B1AD7B6" w14:textId="06A28A1C" w:rsidR="00D22681" w:rsidRPr="00B27719" w:rsidRDefault="00D22681">
            <w:pPr>
              <w:spacing w:line="240" w:lineRule="auto"/>
              <w:contextualSpacing w:val="0"/>
              <w:rPr>
                <w:sz w:val="24"/>
                <w:szCs w:val="24"/>
              </w:rPr>
            </w:pPr>
            <w:r w:rsidRPr="00B27719">
              <w:rPr>
                <w:rFonts w:eastAsia="Verdana"/>
                <w:sz w:val="24"/>
                <w:szCs w:val="24"/>
              </w:rPr>
              <w:t>11.1.1</w:t>
            </w:r>
          </w:p>
        </w:tc>
        <w:tc>
          <w:tcPr>
            <w:tcW w:w="8175" w:type="dxa"/>
            <w:tcMar>
              <w:top w:w="100" w:type="dxa"/>
              <w:left w:w="100" w:type="dxa"/>
              <w:bottom w:w="100" w:type="dxa"/>
              <w:right w:w="100" w:type="dxa"/>
            </w:tcMar>
          </w:tcPr>
          <w:p w14:paraId="69D18F5D" w14:textId="7C0B81BF" w:rsidR="00D22681" w:rsidRPr="00B27719" w:rsidRDefault="00D22681" w:rsidP="00FD46C3">
            <w:pPr>
              <w:spacing w:line="240" w:lineRule="auto"/>
              <w:contextualSpacing w:val="0"/>
              <w:rPr>
                <w:sz w:val="24"/>
                <w:szCs w:val="24"/>
              </w:rPr>
            </w:pPr>
            <w:r w:rsidRPr="00B27719">
              <w:rPr>
                <w:rFonts w:eastAsia="Verdana"/>
                <w:sz w:val="24"/>
                <w:szCs w:val="24"/>
              </w:rPr>
              <w:t>to maintain as confidential and not to use or disclose to any third party any Confidential Information derived from the other party without the consent of the disclosing party except where such use or disclosure is that which is reasonably necessary for the proper performance of this Agreement and the Confidential Information is disclosed subject to an obligation of confidentiality on the part of the third party;</w:t>
            </w:r>
          </w:p>
        </w:tc>
      </w:tr>
      <w:tr w:rsidR="00D22681" w:rsidRPr="00B27719" w14:paraId="4185ECB8" w14:textId="77777777">
        <w:trPr>
          <w:jc w:val="center"/>
        </w:trPr>
        <w:tc>
          <w:tcPr>
            <w:tcW w:w="1155" w:type="dxa"/>
            <w:tcMar>
              <w:top w:w="100" w:type="dxa"/>
              <w:left w:w="100" w:type="dxa"/>
              <w:bottom w:w="100" w:type="dxa"/>
              <w:right w:w="100" w:type="dxa"/>
            </w:tcMar>
          </w:tcPr>
          <w:p w14:paraId="70865619" w14:textId="2498F5E4" w:rsidR="00D22681" w:rsidRPr="00B27719" w:rsidRDefault="00D22681" w:rsidP="001F4FBD">
            <w:pPr>
              <w:spacing w:line="240" w:lineRule="auto"/>
              <w:contextualSpacing w:val="0"/>
              <w:rPr>
                <w:sz w:val="24"/>
                <w:szCs w:val="24"/>
              </w:rPr>
            </w:pPr>
            <w:r w:rsidRPr="00B27719">
              <w:rPr>
                <w:rFonts w:eastAsia="Verdana"/>
                <w:sz w:val="24"/>
                <w:szCs w:val="24"/>
              </w:rPr>
              <w:t>11.1.2</w:t>
            </w:r>
          </w:p>
        </w:tc>
        <w:tc>
          <w:tcPr>
            <w:tcW w:w="8175" w:type="dxa"/>
            <w:tcMar>
              <w:top w:w="100" w:type="dxa"/>
              <w:left w:w="100" w:type="dxa"/>
              <w:bottom w:w="100" w:type="dxa"/>
              <w:right w:w="100" w:type="dxa"/>
            </w:tcMar>
          </w:tcPr>
          <w:p w14:paraId="1A2611CF" w14:textId="09C0C832" w:rsidR="00D22681" w:rsidRPr="00B27719" w:rsidRDefault="00D22681">
            <w:pPr>
              <w:spacing w:line="240" w:lineRule="auto"/>
              <w:contextualSpacing w:val="0"/>
              <w:rPr>
                <w:sz w:val="24"/>
                <w:szCs w:val="24"/>
              </w:rPr>
            </w:pPr>
            <w:r w:rsidRPr="00B27719">
              <w:rPr>
                <w:rFonts w:eastAsia="Verdana"/>
                <w:sz w:val="24"/>
                <w:szCs w:val="24"/>
              </w:rPr>
              <w:t>to make all relevant officers, employees, agents and sub-contractors aware of the confidentiality of the Confidential Information and the provisions of this clause 11, including taking such steps as will from time to time be reasonably necessary to ensure compliance by its officers, employees, agents and sub-contractors with the provisions of this clause 11.</w:t>
            </w:r>
          </w:p>
        </w:tc>
      </w:tr>
      <w:tr w:rsidR="00D22681" w:rsidRPr="00B27719" w14:paraId="4FC30D29" w14:textId="77777777">
        <w:trPr>
          <w:jc w:val="center"/>
        </w:trPr>
        <w:tc>
          <w:tcPr>
            <w:tcW w:w="1155" w:type="dxa"/>
            <w:tcMar>
              <w:top w:w="100" w:type="dxa"/>
              <w:left w:w="100" w:type="dxa"/>
              <w:bottom w:w="100" w:type="dxa"/>
              <w:right w:w="100" w:type="dxa"/>
            </w:tcMar>
          </w:tcPr>
          <w:p w14:paraId="30837187" w14:textId="482FF4C5" w:rsidR="00D22681" w:rsidRPr="00B27719" w:rsidRDefault="00D22681" w:rsidP="00D22681">
            <w:pPr>
              <w:spacing w:line="240" w:lineRule="auto"/>
              <w:rPr>
                <w:rFonts w:eastAsia="Verdana"/>
                <w:sz w:val="24"/>
                <w:szCs w:val="24"/>
              </w:rPr>
            </w:pPr>
            <w:r w:rsidRPr="00B27719">
              <w:rPr>
                <w:rFonts w:eastAsia="Verdana"/>
                <w:sz w:val="24"/>
                <w:szCs w:val="24"/>
              </w:rPr>
              <w:t>11.2</w:t>
            </w:r>
          </w:p>
        </w:tc>
        <w:tc>
          <w:tcPr>
            <w:tcW w:w="8175" w:type="dxa"/>
            <w:tcMar>
              <w:top w:w="100" w:type="dxa"/>
              <w:left w:w="100" w:type="dxa"/>
              <w:bottom w:w="100" w:type="dxa"/>
              <w:right w:w="100" w:type="dxa"/>
            </w:tcMar>
          </w:tcPr>
          <w:p w14:paraId="3DA721A8" w14:textId="65914D42" w:rsidR="00D22681" w:rsidRPr="00B27719" w:rsidRDefault="00D22681">
            <w:pPr>
              <w:spacing w:line="240" w:lineRule="auto"/>
              <w:rPr>
                <w:rFonts w:eastAsia="Verdana"/>
                <w:sz w:val="24"/>
                <w:szCs w:val="24"/>
              </w:rPr>
            </w:pPr>
            <w:r w:rsidRPr="00B27719">
              <w:rPr>
                <w:rFonts w:eastAsia="Verdana"/>
                <w:sz w:val="24"/>
                <w:szCs w:val="24"/>
              </w:rPr>
              <w:t>The obligations in this clause 11 will continue in full force and effect during the terms of and for five (5) years following the termination or expiration of this Agreement, provided, however, the following will not be subject of such restrictions:</w:t>
            </w:r>
          </w:p>
        </w:tc>
      </w:tr>
      <w:tr w:rsidR="00D22681" w:rsidRPr="00B27719" w14:paraId="3DD8B6EE" w14:textId="77777777">
        <w:trPr>
          <w:jc w:val="center"/>
        </w:trPr>
        <w:tc>
          <w:tcPr>
            <w:tcW w:w="1155" w:type="dxa"/>
            <w:tcMar>
              <w:top w:w="100" w:type="dxa"/>
              <w:left w:w="100" w:type="dxa"/>
              <w:bottom w:w="100" w:type="dxa"/>
              <w:right w:w="100" w:type="dxa"/>
            </w:tcMar>
          </w:tcPr>
          <w:p w14:paraId="7DC66018" w14:textId="6403C2D9" w:rsidR="00D22681" w:rsidRPr="00B27719" w:rsidRDefault="00D22681" w:rsidP="001F4FBD">
            <w:pPr>
              <w:spacing w:line="240" w:lineRule="auto"/>
              <w:rPr>
                <w:rFonts w:eastAsia="Verdana"/>
                <w:sz w:val="24"/>
                <w:szCs w:val="24"/>
              </w:rPr>
            </w:pPr>
            <w:r w:rsidRPr="00B27719">
              <w:rPr>
                <w:rFonts w:eastAsia="Verdana"/>
                <w:sz w:val="24"/>
                <w:szCs w:val="24"/>
              </w:rPr>
              <w:t>11.2.1</w:t>
            </w:r>
          </w:p>
        </w:tc>
        <w:tc>
          <w:tcPr>
            <w:tcW w:w="8175" w:type="dxa"/>
            <w:tcMar>
              <w:top w:w="100" w:type="dxa"/>
              <w:left w:w="100" w:type="dxa"/>
              <w:bottom w:w="100" w:type="dxa"/>
              <w:right w:w="100" w:type="dxa"/>
            </w:tcMar>
          </w:tcPr>
          <w:p w14:paraId="3E618283" w14:textId="1B4E6860" w:rsidR="00D22681" w:rsidRPr="00B27719" w:rsidRDefault="00D22681" w:rsidP="00FD46C3">
            <w:pPr>
              <w:spacing w:line="240" w:lineRule="auto"/>
              <w:rPr>
                <w:rFonts w:eastAsia="Verdana"/>
                <w:sz w:val="24"/>
                <w:szCs w:val="24"/>
              </w:rPr>
            </w:pPr>
            <w:r w:rsidRPr="00B27719">
              <w:rPr>
                <w:rFonts w:eastAsia="Verdana"/>
                <w:sz w:val="24"/>
                <w:szCs w:val="24"/>
              </w:rPr>
              <w:t>any information which was lawfully in the possession of the receiving party prior to its disclosure by the disclosing party;</w:t>
            </w:r>
          </w:p>
        </w:tc>
      </w:tr>
      <w:tr w:rsidR="00D22681" w:rsidRPr="00B27719" w14:paraId="313C809F" w14:textId="77777777">
        <w:trPr>
          <w:jc w:val="center"/>
        </w:trPr>
        <w:tc>
          <w:tcPr>
            <w:tcW w:w="1155" w:type="dxa"/>
            <w:tcMar>
              <w:top w:w="100" w:type="dxa"/>
              <w:left w:w="100" w:type="dxa"/>
              <w:bottom w:w="100" w:type="dxa"/>
              <w:right w:w="100" w:type="dxa"/>
            </w:tcMar>
          </w:tcPr>
          <w:p w14:paraId="49D7235D" w14:textId="7F56F13E" w:rsidR="00D22681" w:rsidRPr="00B27719" w:rsidRDefault="00D22681" w:rsidP="001F4FBD">
            <w:pPr>
              <w:spacing w:line="240" w:lineRule="auto"/>
              <w:contextualSpacing w:val="0"/>
              <w:rPr>
                <w:sz w:val="24"/>
                <w:szCs w:val="24"/>
              </w:rPr>
            </w:pPr>
            <w:r w:rsidRPr="00B27719">
              <w:rPr>
                <w:rFonts w:eastAsia="Verdana"/>
                <w:sz w:val="24"/>
                <w:szCs w:val="24"/>
              </w:rPr>
              <w:t>11.2.2</w:t>
            </w:r>
          </w:p>
        </w:tc>
        <w:tc>
          <w:tcPr>
            <w:tcW w:w="8175" w:type="dxa"/>
            <w:tcMar>
              <w:top w:w="100" w:type="dxa"/>
              <w:left w:w="100" w:type="dxa"/>
              <w:bottom w:w="100" w:type="dxa"/>
              <w:right w:w="100" w:type="dxa"/>
            </w:tcMar>
          </w:tcPr>
          <w:p w14:paraId="58D6530A" w14:textId="04898A55" w:rsidR="00D22681" w:rsidRPr="00B27719" w:rsidRDefault="00D22681">
            <w:pPr>
              <w:spacing w:line="240" w:lineRule="auto"/>
              <w:contextualSpacing w:val="0"/>
              <w:rPr>
                <w:sz w:val="24"/>
                <w:szCs w:val="24"/>
              </w:rPr>
            </w:pPr>
            <w:r w:rsidRPr="00B27719">
              <w:rPr>
                <w:rFonts w:eastAsia="Verdana"/>
                <w:sz w:val="24"/>
                <w:szCs w:val="24"/>
              </w:rPr>
              <w:t>any information which is lawfully become part of the public domain;</w:t>
            </w:r>
          </w:p>
        </w:tc>
      </w:tr>
      <w:tr w:rsidR="00D22681" w:rsidRPr="00B27719" w14:paraId="270DE672" w14:textId="77777777">
        <w:trPr>
          <w:jc w:val="center"/>
        </w:trPr>
        <w:tc>
          <w:tcPr>
            <w:tcW w:w="1155" w:type="dxa"/>
            <w:tcMar>
              <w:top w:w="100" w:type="dxa"/>
              <w:left w:w="100" w:type="dxa"/>
              <w:bottom w:w="100" w:type="dxa"/>
              <w:right w:w="100" w:type="dxa"/>
            </w:tcMar>
          </w:tcPr>
          <w:p w14:paraId="791F335E" w14:textId="3D875435" w:rsidR="00D22681" w:rsidRPr="00B27719" w:rsidRDefault="00D22681" w:rsidP="001F4FBD">
            <w:pPr>
              <w:spacing w:line="240" w:lineRule="auto"/>
              <w:contextualSpacing w:val="0"/>
              <w:rPr>
                <w:sz w:val="24"/>
                <w:szCs w:val="24"/>
              </w:rPr>
            </w:pPr>
            <w:r w:rsidRPr="00B27719">
              <w:rPr>
                <w:rFonts w:eastAsia="Verdana"/>
                <w:sz w:val="24"/>
                <w:szCs w:val="24"/>
              </w:rPr>
              <w:lastRenderedPageBreak/>
              <w:t>11.2.3</w:t>
            </w:r>
          </w:p>
        </w:tc>
        <w:tc>
          <w:tcPr>
            <w:tcW w:w="8175" w:type="dxa"/>
            <w:tcMar>
              <w:top w:w="100" w:type="dxa"/>
              <w:left w:w="100" w:type="dxa"/>
              <w:bottom w:w="100" w:type="dxa"/>
              <w:right w:w="100" w:type="dxa"/>
            </w:tcMar>
          </w:tcPr>
          <w:p w14:paraId="3D0294A9" w14:textId="218C9BE1" w:rsidR="00D22681" w:rsidRPr="00B27719" w:rsidRDefault="00D22681">
            <w:pPr>
              <w:spacing w:line="240" w:lineRule="auto"/>
              <w:contextualSpacing w:val="0"/>
              <w:rPr>
                <w:sz w:val="24"/>
                <w:szCs w:val="24"/>
              </w:rPr>
            </w:pPr>
            <w:r w:rsidRPr="00B27719">
              <w:rPr>
                <w:rFonts w:eastAsia="Verdana"/>
                <w:sz w:val="24"/>
                <w:szCs w:val="24"/>
              </w:rPr>
              <w:t>any information which is otherwise lawfully available to one party from a source independent of the other party; or</w:t>
            </w:r>
          </w:p>
        </w:tc>
      </w:tr>
      <w:tr w:rsidR="00D22681" w:rsidRPr="00B27719" w14:paraId="4770B493" w14:textId="77777777">
        <w:trPr>
          <w:jc w:val="center"/>
        </w:trPr>
        <w:tc>
          <w:tcPr>
            <w:tcW w:w="1155" w:type="dxa"/>
            <w:tcMar>
              <w:top w:w="100" w:type="dxa"/>
              <w:left w:w="100" w:type="dxa"/>
              <w:bottom w:w="100" w:type="dxa"/>
              <w:right w:w="100" w:type="dxa"/>
            </w:tcMar>
          </w:tcPr>
          <w:p w14:paraId="295DE504" w14:textId="6D892BEE" w:rsidR="00D22681" w:rsidRPr="00B27719" w:rsidRDefault="00D22681">
            <w:pPr>
              <w:spacing w:line="240" w:lineRule="auto"/>
              <w:contextualSpacing w:val="0"/>
              <w:rPr>
                <w:sz w:val="24"/>
                <w:szCs w:val="24"/>
              </w:rPr>
            </w:pPr>
            <w:r w:rsidRPr="00B27719">
              <w:rPr>
                <w:rFonts w:eastAsia="Verdana"/>
                <w:sz w:val="24"/>
                <w:szCs w:val="24"/>
              </w:rPr>
              <w:t>11.2.4</w:t>
            </w:r>
          </w:p>
          <w:p w14:paraId="5B4E6F17" w14:textId="2A44B844" w:rsidR="00D22681" w:rsidRPr="00B27719" w:rsidRDefault="00D22681" w:rsidP="001F4FBD">
            <w:pPr>
              <w:spacing w:line="240" w:lineRule="auto"/>
              <w:contextualSpacing w:val="0"/>
              <w:rPr>
                <w:sz w:val="24"/>
                <w:szCs w:val="24"/>
              </w:rPr>
            </w:pPr>
          </w:p>
        </w:tc>
        <w:tc>
          <w:tcPr>
            <w:tcW w:w="8175" w:type="dxa"/>
            <w:tcMar>
              <w:top w:w="100" w:type="dxa"/>
              <w:left w:w="100" w:type="dxa"/>
              <w:bottom w:w="100" w:type="dxa"/>
              <w:right w:w="100" w:type="dxa"/>
            </w:tcMar>
          </w:tcPr>
          <w:p w14:paraId="6B08B0BA" w14:textId="1494B168" w:rsidR="00D22681" w:rsidRPr="00B27719" w:rsidRDefault="00D22681">
            <w:pPr>
              <w:spacing w:line="240" w:lineRule="auto"/>
              <w:contextualSpacing w:val="0"/>
              <w:rPr>
                <w:sz w:val="24"/>
                <w:szCs w:val="24"/>
              </w:rPr>
            </w:pPr>
            <w:r w:rsidRPr="00B27719">
              <w:rPr>
                <w:rFonts w:eastAsia="Verdana"/>
                <w:sz w:val="24"/>
                <w:szCs w:val="24"/>
              </w:rPr>
              <w:t>any information the disclosure of which is required by applicable law, regulation, judicial order or other governmental authority.</w:t>
            </w:r>
          </w:p>
        </w:tc>
      </w:tr>
      <w:tr w:rsidR="00D22681" w:rsidRPr="00B27719" w14:paraId="38B040DD" w14:textId="77777777">
        <w:trPr>
          <w:jc w:val="center"/>
        </w:trPr>
        <w:tc>
          <w:tcPr>
            <w:tcW w:w="1155" w:type="dxa"/>
            <w:tcMar>
              <w:top w:w="100" w:type="dxa"/>
              <w:left w:w="100" w:type="dxa"/>
              <w:bottom w:w="100" w:type="dxa"/>
              <w:right w:w="100" w:type="dxa"/>
            </w:tcMar>
          </w:tcPr>
          <w:p w14:paraId="49CC3F8C" w14:textId="37CF1C1B" w:rsidR="00D22681" w:rsidRPr="00B27719" w:rsidRDefault="00D22681" w:rsidP="001F4FBD">
            <w:pPr>
              <w:spacing w:line="240" w:lineRule="auto"/>
              <w:contextualSpacing w:val="0"/>
              <w:rPr>
                <w:b/>
                <w:sz w:val="24"/>
                <w:szCs w:val="24"/>
              </w:rPr>
            </w:pPr>
            <w:r w:rsidRPr="00B27719">
              <w:rPr>
                <w:rFonts w:eastAsia="Verdana"/>
                <w:b/>
                <w:sz w:val="24"/>
                <w:szCs w:val="24"/>
              </w:rPr>
              <w:t>12</w:t>
            </w:r>
          </w:p>
        </w:tc>
        <w:tc>
          <w:tcPr>
            <w:tcW w:w="8175" w:type="dxa"/>
            <w:tcMar>
              <w:top w:w="100" w:type="dxa"/>
              <w:left w:w="100" w:type="dxa"/>
              <w:bottom w:w="100" w:type="dxa"/>
              <w:right w:w="100" w:type="dxa"/>
            </w:tcMar>
          </w:tcPr>
          <w:p w14:paraId="3BAEB706" w14:textId="364D639A" w:rsidR="00D22681" w:rsidRPr="00B27719" w:rsidRDefault="00D22681">
            <w:pPr>
              <w:spacing w:line="240" w:lineRule="auto"/>
              <w:contextualSpacing w:val="0"/>
              <w:rPr>
                <w:sz w:val="24"/>
                <w:szCs w:val="24"/>
              </w:rPr>
            </w:pPr>
            <w:r w:rsidRPr="00B27719">
              <w:rPr>
                <w:rFonts w:eastAsia="Verdana"/>
                <w:b/>
                <w:sz w:val="24"/>
                <w:szCs w:val="24"/>
              </w:rPr>
              <w:t>ARBITRATION</w:t>
            </w:r>
            <w:r w:rsidRPr="00B27719">
              <w:rPr>
                <w:rFonts w:eastAsia="Verdana"/>
                <w:sz w:val="24"/>
                <w:szCs w:val="24"/>
              </w:rPr>
              <w:t>:</w:t>
            </w:r>
          </w:p>
        </w:tc>
      </w:tr>
      <w:tr w:rsidR="00D22681" w:rsidRPr="00B27719" w14:paraId="30151F90" w14:textId="77777777" w:rsidTr="00657823">
        <w:trPr>
          <w:trHeight w:val="1395"/>
          <w:jc w:val="center"/>
        </w:trPr>
        <w:tc>
          <w:tcPr>
            <w:tcW w:w="1155" w:type="dxa"/>
            <w:tcMar>
              <w:top w:w="100" w:type="dxa"/>
              <w:left w:w="100" w:type="dxa"/>
              <w:bottom w:w="100" w:type="dxa"/>
              <w:right w:w="100" w:type="dxa"/>
            </w:tcMar>
          </w:tcPr>
          <w:p w14:paraId="5CB53666" w14:textId="0B9142FF" w:rsidR="00D22681" w:rsidRPr="00B27719" w:rsidRDefault="00D22681" w:rsidP="001F4FBD">
            <w:pPr>
              <w:spacing w:line="240" w:lineRule="auto"/>
              <w:contextualSpacing w:val="0"/>
              <w:rPr>
                <w:sz w:val="24"/>
                <w:szCs w:val="24"/>
              </w:rPr>
            </w:pPr>
            <w:r w:rsidRPr="00B27719">
              <w:rPr>
                <w:rFonts w:eastAsia="Verdana"/>
                <w:sz w:val="24"/>
                <w:szCs w:val="24"/>
              </w:rPr>
              <w:t>12.1</w:t>
            </w:r>
          </w:p>
        </w:tc>
        <w:tc>
          <w:tcPr>
            <w:tcW w:w="8175" w:type="dxa"/>
            <w:tcMar>
              <w:top w:w="100" w:type="dxa"/>
              <w:left w:w="100" w:type="dxa"/>
              <w:bottom w:w="100" w:type="dxa"/>
              <w:right w:w="100" w:type="dxa"/>
            </w:tcMar>
          </w:tcPr>
          <w:p w14:paraId="0219BA85" w14:textId="5606D63C" w:rsidR="00D22681" w:rsidRPr="00B27719" w:rsidRDefault="00D22681" w:rsidP="001F4FBD">
            <w:pPr>
              <w:spacing w:line="240" w:lineRule="auto"/>
              <w:contextualSpacing w:val="0"/>
              <w:rPr>
                <w:sz w:val="24"/>
                <w:szCs w:val="24"/>
              </w:rPr>
            </w:pPr>
            <w:r w:rsidRPr="00B27719">
              <w:rPr>
                <w:rFonts w:eastAsia="Verdana"/>
                <w:sz w:val="24"/>
                <w:szCs w:val="24"/>
              </w:rPr>
              <w:t>Any dispute, difference or disagreement arising out of or in connection with this Agreement may (subject to clause 12.2) be referred by either party to a single arbitrator appointed by agreement between the parties or, in default of agreement between the parties within 30 days of a request in writing for a reference to arbitration, to an arbitrator appointed by the President of the Chartered Institute of Arbitrators.</w:t>
            </w:r>
          </w:p>
        </w:tc>
      </w:tr>
      <w:tr w:rsidR="00D22681" w:rsidRPr="00B27719" w14:paraId="11281B3C" w14:textId="77777777" w:rsidTr="00D15B48">
        <w:trPr>
          <w:trHeight w:val="604"/>
          <w:jc w:val="center"/>
        </w:trPr>
        <w:tc>
          <w:tcPr>
            <w:tcW w:w="1155" w:type="dxa"/>
            <w:tcMar>
              <w:top w:w="100" w:type="dxa"/>
              <w:left w:w="100" w:type="dxa"/>
              <w:bottom w:w="100" w:type="dxa"/>
              <w:right w:w="100" w:type="dxa"/>
            </w:tcMar>
          </w:tcPr>
          <w:p w14:paraId="3568A757" w14:textId="1E0A0794" w:rsidR="00D22681" w:rsidRPr="00B27719" w:rsidRDefault="00D22681" w:rsidP="00D22681">
            <w:pPr>
              <w:spacing w:line="240" w:lineRule="auto"/>
              <w:contextualSpacing w:val="0"/>
              <w:rPr>
                <w:sz w:val="24"/>
                <w:szCs w:val="24"/>
              </w:rPr>
            </w:pPr>
            <w:r w:rsidRPr="00B27719">
              <w:rPr>
                <w:rFonts w:eastAsia="Verdana"/>
                <w:sz w:val="24"/>
                <w:szCs w:val="24"/>
              </w:rPr>
              <w:t>12.2</w:t>
            </w:r>
          </w:p>
        </w:tc>
        <w:tc>
          <w:tcPr>
            <w:tcW w:w="8175" w:type="dxa"/>
            <w:tcMar>
              <w:top w:w="100" w:type="dxa"/>
              <w:left w:w="100" w:type="dxa"/>
              <w:bottom w:w="100" w:type="dxa"/>
              <w:right w:w="100" w:type="dxa"/>
            </w:tcMar>
          </w:tcPr>
          <w:p w14:paraId="1454B81E" w14:textId="53890BF8" w:rsidR="00D22681" w:rsidRPr="00B27719" w:rsidRDefault="00D22681" w:rsidP="001F4FBD">
            <w:pPr>
              <w:spacing w:line="240" w:lineRule="auto"/>
              <w:contextualSpacing w:val="0"/>
              <w:rPr>
                <w:sz w:val="24"/>
                <w:szCs w:val="24"/>
              </w:rPr>
            </w:pPr>
            <w:r w:rsidRPr="00B27719">
              <w:rPr>
                <w:rFonts w:eastAsia="Verdana"/>
                <w:sz w:val="24"/>
                <w:szCs w:val="24"/>
              </w:rPr>
              <w:t>Prior to any dispute, difference or disagreements being referred to arbitration pursuant to clause 12.1, the parties shall seek to resolve the matter as follows:</w:t>
            </w:r>
          </w:p>
        </w:tc>
      </w:tr>
      <w:tr w:rsidR="00D22681" w:rsidRPr="00B27719" w14:paraId="0D8EB11A" w14:textId="77777777" w:rsidTr="00657823">
        <w:trPr>
          <w:trHeight w:val="582"/>
          <w:jc w:val="center"/>
        </w:trPr>
        <w:tc>
          <w:tcPr>
            <w:tcW w:w="1155" w:type="dxa"/>
            <w:tcMar>
              <w:top w:w="100" w:type="dxa"/>
              <w:left w:w="100" w:type="dxa"/>
              <w:bottom w:w="100" w:type="dxa"/>
              <w:right w:w="100" w:type="dxa"/>
            </w:tcMar>
          </w:tcPr>
          <w:p w14:paraId="4B9CFE10" w14:textId="275B3089" w:rsidR="00D22681" w:rsidRPr="00B27719" w:rsidRDefault="00D22681">
            <w:pPr>
              <w:spacing w:line="240" w:lineRule="auto"/>
              <w:contextualSpacing w:val="0"/>
              <w:rPr>
                <w:sz w:val="24"/>
                <w:szCs w:val="24"/>
              </w:rPr>
            </w:pPr>
            <w:r w:rsidRPr="00B27719">
              <w:rPr>
                <w:rFonts w:eastAsia="Verdana"/>
                <w:sz w:val="24"/>
                <w:szCs w:val="24"/>
              </w:rPr>
              <w:t>12</w:t>
            </w:r>
            <w:r w:rsidR="00D15B48" w:rsidRPr="00B27719">
              <w:rPr>
                <w:rFonts w:eastAsia="Verdana"/>
                <w:sz w:val="24"/>
                <w:szCs w:val="24"/>
              </w:rPr>
              <w:t>.2.1</w:t>
            </w:r>
          </w:p>
          <w:p w14:paraId="4AA99973" w14:textId="022559B1" w:rsidR="00D22681" w:rsidRPr="00B27719" w:rsidRDefault="00D22681" w:rsidP="001F4FBD">
            <w:pPr>
              <w:spacing w:line="240" w:lineRule="auto"/>
              <w:contextualSpacing w:val="0"/>
              <w:rPr>
                <w:sz w:val="24"/>
                <w:szCs w:val="24"/>
              </w:rPr>
            </w:pPr>
          </w:p>
        </w:tc>
        <w:tc>
          <w:tcPr>
            <w:tcW w:w="8175" w:type="dxa"/>
            <w:tcMar>
              <w:top w:w="100" w:type="dxa"/>
              <w:left w:w="100" w:type="dxa"/>
              <w:bottom w:w="100" w:type="dxa"/>
              <w:right w:w="100" w:type="dxa"/>
            </w:tcMar>
          </w:tcPr>
          <w:p w14:paraId="6742ED18" w14:textId="3CF9E87C" w:rsidR="00D22681" w:rsidRPr="00B27719" w:rsidRDefault="00D22681">
            <w:pPr>
              <w:spacing w:line="240" w:lineRule="auto"/>
              <w:contextualSpacing w:val="0"/>
              <w:rPr>
                <w:sz w:val="24"/>
                <w:szCs w:val="24"/>
              </w:rPr>
            </w:pPr>
            <w:r w:rsidRPr="00B27719">
              <w:rPr>
                <w:rFonts w:eastAsia="Verdana"/>
                <w:sz w:val="24"/>
                <w:szCs w:val="24"/>
              </w:rPr>
              <w:t>In the first instance, the matter will be considered by the respective director/manager of each party, but if they are not able to resolve the matter within 30 days, then (and it is expected that this will only be the</w:t>
            </w:r>
            <w:r w:rsidR="00D15B48" w:rsidRPr="00B27719">
              <w:rPr>
                <w:rFonts w:eastAsia="Verdana"/>
                <w:sz w:val="24"/>
                <w:szCs w:val="24"/>
              </w:rPr>
              <w:t xml:space="preserve"> case in extreme circumstances);</w:t>
            </w:r>
          </w:p>
        </w:tc>
      </w:tr>
      <w:tr w:rsidR="00D22681" w:rsidRPr="00B27719" w14:paraId="26004363" w14:textId="77777777" w:rsidTr="0041429D">
        <w:trPr>
          <w:trHeight w:val="197"/>
          <w:jc w:val="center"/>
        </w:trPr>
        <w:tc>
          <w:tcPr>
            <w:tcW w:w="1155" w:type="dxa"/>
            <w:tcMar>
              <w:top w:w="100" w:type="dxa"/>
              <w:left w:w="100" w:type="dxa"/>
              <w:bottom w:w="100" w:type="dxa"/>
              <w:right w:w="100" w:type="dxa"/>
            </w:tcMar>
          </w:tcPr>
          <w:p w14:paraId="7246EE5F" w14:textId="5A58A367" w:rsidR="00D22681" w:rsidRPr="00B27719" w:rsidRDefault="00D22681">
            <w:pPr>
              <w:spacing w:line="240" w:lineRule="auto"/>
              <w:contextualSpacing w:val="0"/>
              <w:rPr>
                <w:sz w:val="24"/>
                <w:szCs w:val="24"/>
              </w:rPr>
            </w:pPr>
            <w:r w:rsidRPr="00B27719">
              <w:rPr>
                <w:rFonts w:eastAsia="Verdana"/>
                <w:sz w:val="24"/>
                <w:szCs w:val="24"/>
              </w:rPr>
              <w:t>12.2</w:t>
            </w:r>
            <w:r w:rsidR="00D15B48" w:rsidRPr="00B27719">
              <w:rPr>
                <w:rFonts w:eastAsia="Verdana"/>
                <w:sz w:val="24"/>
                <w:szCs w:val="24"/>
              </w:rPr>
              <w:t>.2</w:t>
            </w:r>
          </w:p>
        </w:tc>
        <w:tc>
          <w:tcPr>
            <w:tcW w:w="8175" w:type="dxa"/>
            <w:tcMar>
              <w:top w:w="100" w:type="dxa"/>
              <w:left w:w="100" w:type="dxa"/>
              <w:bottom w:w="100" w:type="dxa"/>
              <w:right w:w="100" w:type="dxa"/>
            </w:tcMar>
          </w:tcPr>
          <w:p w14:paraId="2633A2FB" w14:textId="775D1337" w:rsidR="00D22681" w:rsidRPr="00B27719" w:rsidRDefault="00D22681">
            <w:pPr>
              <w:spacing w:line="240" w:lineRule="auto"/>
              <w:contextualSpacing w:val="0"/>
              <w:rPr>
                <w:sz w:val="24"/>
                <w:szCs w:val="24"/>
              </w:rPr>
            </w:pPr>
            <w:r w:rsidRPr="00B27719">
              <w:rPr>
                <w:rFonts w:eastAsia="Verdana"/>
                <w:sz w:val="24"/>
                <w:szCs w:val="24"/>
              </w:rPr>
              <w:t>be referred for consideration to the Chief Executive or equivalent of each party, but if they are unable to resolve the matter in a further 30 days, the provisions of clause 12.1 will take effect.</w:t>
            </w:r>
          </w:p>
        </w:tc>
      </w:tr>
      <w:tr w:rsidR="00D22681" w:rsidRPr="00B27719" w14:paraId="4499A14F" w14:textId="77777777">
        <w:trPr>
          <w:jc w:val="center"/>
        </w:trPr>
        <w:tc>
          <w:tcPr>
            <w:tcW w:w="1155" w:type="dxa"/>
            <w:tcMar>
              <w:top w:w="100" w:type="dxa"/>
              <w:left w:w="100" w:type="dxa"/>
              <w:bottom w:w="100" w:type="dxa"/>
              <w:right w:w="100" w:type="dxa"/>
            </w:tcMar>
          </w:tcPr>
          <w:p w14:paraId="348A944A" w14:textId="113A058F" w:rsidR="00D22681" w:rsidRPr="00B27719" w:rsidRDefault="00D15B48">
            <w:pPr>
              <w:spacing w:line="240" w:lineRule="auto"/>
              <w:contextualSpacing w:val="0"/>
              <w:rPr>
                <w:b/>
                <w:sz w:val="24"/>
                <w:szCs w:val="24"/>
              </w:rPr>
            </w:pPr>
            <w:r w:rsidRPr="00B27719">
              <w:rPr>
                <w:rFonts w:eastAsia="Verdana"/>
                <w:b/>
                <w:sz w:val="24"/>
                <w:szCs w:val="24"/>
              </w:rPr>
              <w:t>13</w:t>
            </w:r>
          </w:p>
          <w:p w14:paraId="7325FC63" w14:textId="48B72170" w:rsidR="00D22681" w:rsidRPr="00B27719" w:rsidRDefault="00D22681" w:rsidP="001F4FBD">
            <w:pPr>
              <w:spacing w:line="240" w:lineRule="auto"/>
              <w:contextualSpacing w:val="0"/>
              <w:rPr>
                <w:sz w:val="24"/>
                <w:szCs w:val="24"/>
              </w:rPr>
            </w:pPr>
          </w:p>
        </w:tc>
        <w:tc>
          <w:tcPr>
            <w:tcW w:w="8175" w:type="dxa"/>
            <w:tcMar>
              <w:top w:w="100" w:type="dxa"/>
              <w:left w:w="100" w:type="dxa"/>
              <w:bottom w:w="100" w:type="dxa"/>
              <w:right w:w="100" w:type="dxa"/>
            </w:tcMar>
          </w:tcPr>
          <w:p w14:paraId="0B2C7BE4" w14:textId="79E96D44" w:rsidR="00D22681" w:rsidRPr="00B27719" w:rsidRDefault="00D22681">
            <w:pPr>
              <w:spacing w:line="240" w:lineRule="auto"/>
              <w:contextualSpacing w:val="0"/>
              <w:rPr>
                <w:sz w:val="24"/>
                <w:szCs w:val="24"/>
              </w:rPr>
            </w:pPr>
            <w:r w:rsidRPr="00B27719">
              <w:rPr>
                <w:rFonts w:eastAsia="Verdana"/>
                <w:b/>
                <w:sz w:val="24"/>
                <w:szCs w:val="24"/>
              </w:rPr>
              <w:t>LIABILITY</w:t>
            </w:r>
          </w:p>
        </w:tc>
      </w:tr>
      <w:tr w:rsidR="00D22681" w:rsidRPr="00B27719" w14:paraId="740BACE6" w14:textId="77777777">
        <w:trPr>
          <w:jc w:val="center"/>
        </w:trPr>
        <w:tc>
          <w:tcPr>
            <w:tcW w:w="1155" w:type="dxa"/>
            <w:tcMar>
              <w:top w:w="100" w:type="dxa"/>
              <w:left w:w="100" w:type="dxa"/>
              <w:bottom w:w="100" w:type="dxa"/>
              <w:right w:w="100" w:type="dxa"/>
            </w:tcMar>
          </w:tcPr>
          <w:p w14:paraId="54CE387A" w14:textId="5F49A7FE" w:rsidR="00D22681" w:rsidRPr="00B27719" w:rsidRDefault="00D15B48" w:rsidP="001F4FBD">
            <w:pPr>
              <w:spacing w:line="240" w:lineRule="auto"/>
              <w:contextualSpacing w:val="0"/>
              <w:rPr>
                <w:sz w:val="24"/>
                <w:szCs w:val="24"/>
              </w:rPr>
            </w:pPr>
            <w:r w:rsidRPr="00B27719">
              <w:rPr>
                <w:rFonts w:eastAsia="Verdana"/>
                <w:sz w:val="24"/>
                <w:szCs w:val="24"/>
              </w:rPr>
              <w:t>13.1</w:t>
            </w:r>
          </w:p>
        </w:tc>
        <w:tc>
          <w:tcPr>
            <w:tcW w:w="8175" w:type="dxa"/>
            <w:tcMar>
              <w:top w:w="100" w:type="dxa"/>
              <w:left w:w="100" w:type="dxa"/>
              <w:bottom w:w="100" w:type="dxa"/>
              <w:right w:w="100" w:type="dxa"/>
            </w:tcMar>
          </w:tcPr>
          <w:p w14:paraId="33739443" w14:textId="17B554C3" w:rsidR="00D22681" w:rsidRPr="00B27719" w:rsidRDefault="00D22681" w:rsidP="00657823">
            <w:pPr>
              <w:tabs>
                <w:tab w:val="center" w:pos="4153"/>
                <w:tab w:val="right" w:pos="8306"/>
              </w:tabs>
              <w:spacing w:line="240" w:lineRule="auto"/>
              <w:contextualSpacing w:val="0"/>
              <w:rPr>
                <w:sz w:val="24"/>
                <w:szCs w:val="24"/>
              </w:rPr>
            </w:pPr>
            <w:r w:rsidRPr="00B27719">
              <w:rPr>
                <w:rFonts w:eastAsia="Verdana"/>
                <w:sz w:val="24"/>
                <w:szCs w:val="24"/>
              </w:rPr>
              <w:t>Neither party shall have the authority to incur any financial or other obligation on the part of the other party without the prior consent in writing of the other party.</w:t>
            </w:r>
          </w:p>
        </w:tc>
      </w:tr>
      <w:tr w:rsidR="00D22681" w:rsidRPr="00B27719" w14:paraId="0B216844" w14:textId="77777777">
        <w:trPr>
          <w:jc w:val="center"/>
        </w:trPr>
        <w:tc>
          <w:tcPr>
            <w:tcW w:w="1155" w:type="dxa"/>
            <w:tcMar>
              <w:top w:w="100" w:type="dxa"/>
              <w:left w:w="100" w:type="dxa"/>
              <w:bottom w:w="100" w:type="dxa"/>
              <w:right w:w="100" w:type="dxa"/>
            </w:tcMar>
          </w:tcPr>
          <w:p w14:paraId="11CB9E2E" w14:textId="27BEA539" w:rsidR="00D22681" w:rsidRPr="00B27719" w:rsidRDefault="00D22681">
            <w:pPr>
              <w:spacing w:line="240" w:lineRule="auto"/>
              <w:contextualSpacing w:val="0"/>
              <w:rPr>
                <w:sz w:val="24"/>
                <w:szCs w:val="24"/>
              </w:rPr>
            </w:pPr>
            <w:r w:rsidRPr="00B27719">
              <w:rPr>
                <w:rFonts w:eastAsia="Verdana"/>
                <w:sz w:val="24"/>
                <w:szCs w:val="24"/>
              </w:rPr>
              <w:t>13</w:t>
            </w:r>
            <w:r w:rsidR="00D15B48" w:rsidRPr="00B27719">
              <w:rPr>
                <w:rFonts w:eastAsia="Verdana"/>
                <w:sz w:val="24"/>
                <w:szCs w:val="24"/>
              </w:rPr>
              <w:t>.2</w:t>
            </w:r>
          </w:p>
        </w:tc>
        <w:tc>
          <w:tcPr>
            <w:tcW w:w="8175" w:type="dxa"/>
            <w:tcMar>
              <w:top w:w="100" w:type="dxa"/>
              <w:left w:w="100" w:type="dxa"/>
              <w:bottom w:w="100" w:type="dxa"/>
              <w:right w:w="100" w:type="dxa"/>
            </w:tcMar>
          </w:tcPr>
          <w:p w14:paraId="4B801138" w14:textId="41961818" w:rsidR="00D22681" w:rsidRPr="00B27719" w:rsidRDefault="00D22681">
            <w:pPr>
              <w:spacing w:line="240" w:lineRule="auto"/>
              <w:contextualSpacing w:val="0"/>
              <w:rPr>
                <w:sz w:val="24"/>
                <w:szCs w:val="24"/>
              </w:rPr>
            </w:pPr>
            <w:r w:rsidRPr="00B27719">
              <w:rPr>
                <w:rFonts w:eastAsia="Verdana"/>
                <w:sz w:val="24"/>
                <w:szCs w:val="24"/>
              </w:rPr>
              <w:t>Institution shall be mindful of the expectations and requirements of all relevant legislation as they may impinge upon the operation of the rights granted under this Agreement.</w:t>
            </w:r>
          </w:p>
        </w:tc>
      </w:tr>
      <w:tr w:rsidR="00D22681" w:rsidRPr="00B27719" w14:paraId="77608229" w14:textId="77777777">
        <w:trPr>
          <w:jc w:val="center"/>
        </w:trPr>
        <w:tc>
          <w:tcPr>
            <w:tcW w:w="1155" w:type="dxa"/>
            <w:tcMar>
              <w:top w:w="100" w:type="dxa"/>
              <w:left w:w="100" w:type="dxa"/>
              <w:bottom w:w="100" w:type="dxa"/>
              <w:right w:w="100" w:type="dxa"/>
            </w:tcMar>
          </w:tcPr>
          <w:p w14:paraId="558A460A" w14:textId="2D53F823" w:rsidR="00D22681" w:rsidRPr="00B27719" w:rsidRDefault="00D22681">
            <w:pPr>
              <w:spacing w:line="240" w:lineRule="auto"/>
              <w:contextualSpacing w:val="0"/>
              <w:rPr>
                <w:sz w:val="24"/>
                <w:szCs w:val="24"/>
              </w:rPr>
            </w:pPr>
            <w:r w:rsidRPr="00B27719">
              <w:rPr>
                <w:rFonts w:eastAsia="Verdana"/>
                <w:sz w:val="24"/>
                <w:szCs w:val="24"/>
              </w:rPr>
              <w:t>13</w:t>
            </w:r>
            <w:r w:rsidR="00D15B48" w:rsidRPr="00B27719">
              <w:rPr>
                <w:rFonts w:eastAsia="Verdana"/>
                <w:sz w:val="24"/>
                <w:szCs w:val="24"/>
              </w:rPr>
              <w:t>.3</w:t>
            </w:r>
          </w:p>
        </w:tc>
        <w:tc>
          <w:tcPr>
            <w:tcW w:w="8175" w:type="dxa"/>
            <w:tcMar>
              <w:top w:w="100" w:type="dxa"/>
              <w:left w:w="100" w:type="dxa"/>
              <w:bottom w:w="100" w:type="dxa"/>
              <w:right w:w="100" w:type="dxa"/>
            </w:tcMar>
          </w:tcPr>
          <w:p w14:paraId="0B9BE9AE" w14:textId="03EC4BAE" w:rsidR="00D22681" w:rsidRPr="00B27719" w:rsidRDefault="00D22681" w:rsidP="001F4FBD">
            <w:pPr>
              <w:spacing w:line="240" w:lineRule="auto"/>
              <w:contextualSpacing w:val="0"/>
              <w:rPr>
                <w:sz w:val="24"/>
                <w:szCs w:val="24"/>
              </w:rPr>
            </w:pPr>
            <w:r w:rsidRPr="00B27719">
              <w:rPr>
                <w:sz w:val="24"/>
                <w:szCs w:val="24"/>
              </w:rPr>
              <w:t>Nothing in this Agreement shall exclude or limit Pearson’s liability for: (i) fraud or other criminal acts; (ii) personal injury or death caused by the negligence of its employees in connection with the performance of their duties under this Agreement or by defects in any product supplied pursuant to this Agreement; (iii) any other liability that cannot be excluded by applicable law.</w:t>
            </w:r>
          </w:p>
        </w:tc>
      </w:tr>
      <w:tr w:rsidR="00D22681" w:rsidRPr="00B27719" w14:paraId="5EB4929B" w14:textId="77777777">
        <w:trPr>
          <w:jc w:val="center"/>
        </w:trPr>
        <w:tc>
          <w:tcPr>
            <w:tcW w:w="1155" w:type="dxa"/>
            <w:tcMar>
              <w:top w:w="100" w:type="dxa"/>
              <w:left w:w="100" w:type="dxa"/>
              <w:bottom w:w="100" w:type="dxa"/>
              <w:right w:w="100" w:type="dxa"/>
            </w:tcMar>
          </w:tcPr>
          <w:p w14:paraId="4C6E69D0" w14:textId="3C1F96B5" w:rsidR="00D22681" w:rsidRPr="00B27719" w:rsidRDefault="00D22681" w:rsidP="001F4FBD">
            <w:pPr>
              <w:spacing w:line="240" w:lineRule="auto"/>
              <w:contextualSpacing w:val="0"/>
              <w:rPr>
                <w:sz w:val="24"/>
                <w:szCs w:val="24"/>
              </w:rPr>
            </w:pPr>
            <w:r w:rsidRPr="00B27719">
              <w:rPr>
                <w:rFonts w:eastAsia="Verdana"/>
                <w:sz w:val="24"/>
                <w:szCs w:val="24"/>
              </w:rPr>
              <w:t>13</w:t>
            </w:r>
            <w:r w:rsidR="00D15B48" w:rsidRPr="00B27719">
              <w:rPr>
                <w:rFonts w:eastAsia="Verdana"/>
                <w:sz w:val="24"/>
                <w:szCs w:val="24"/>
              </w:rPr>
              <w:t>.4</w:t>
            </w:r>
          </w:p>
        </w:tc>
        <w:tc>
          <w:tcPr>
            <w:tcW w:w="8175" w:type="dxa"/>
            <w:tcMar>
              <w:top w:w="100" w:type="dxa"/>
              <w:left w:w="100" w:type="dxa"/>
              <w:bottom w:w="100" w:type="dxa"/>
              <w:right w:w="100" w:type="dxa"/>
            </w:tcMar>
          </w:tcPr>
          <w:p w14:paraId="42DE2169" w14:textId="147054C2" w:rsidR="00D22681" w:rsidRPr="00B27719" w:rsidRDefault="00D22681" w:rsidP="001F4FBD">
            <w:pPr>
              <w:spacing w:line="240" w:lineRule="auto"/>
              <w:contextualSpacing w:val="0"/>
              <w:rPr>
                <w:sz w:val="24"/>
                <w:szCs w:val="24"/>
              </w:rPr>
            </w:pPr>
            <w:r w:rsidRPr="00B27719">
              <w:rPr>
                <w:sz w:val="24"/>
                <w:szCs w:val="24"/>
              </w:rPr>
              <w:t xml:space="preserve">Subject to clause 13.3, Pearson shall have no any liability to Institution for any loss or damage which may be suffered by Institution (or any person </w:t>
            </w:r>
            <w:r w:rsidRPr="00B27719">
              <w:rPr>
                <w:sz w:val="24"/>
                <w:szCs w:val="24"/>
              </w:rPr>
              <w:lastRenderedPageBreak/>
              <w:t>claiming under or through Institution) which results from: (i) loss of profits; (ii) loss of anticipated savings; (iii) loss of business opportunity or goodwill; (iv) loss of data; or (v) or loss of use or; (vi) any indirect or consequential loss or damage even if Pearson that party was advised of the possibility of such losses.</w:t>
            </w:r>
          </w:p>
        </w:tc>
      </w:tr>
      <w:tr w:rsidR="00D22681" w:rsidRPr="00B27719" w14:paraId="1FC4A9A4" w14:textId="77777777">
        <w:trPr>
          <w:jc w:val="center"/>
        </w:trPr>
        <w:tc>
          <w:tcPr>
            <w:tcW w:w="1155" w:type="dxa"/>
            <w:tcMar>
              <w:top w:w="100" w:type="dxa"/>
              <w:left w:w="100" w:type="dxa"/>
              <w:bottom w:w="100" w:type="dxa"/>
              <w:right w:w="100" w:type="dxa"/>
            </w:tcMar>
          </w:tcPr>
          <w:p w14:paraId="70C3EF47" w14:textId="59158949" w:rsidR="00D22681" w:rsidRPr="00B27719" w:rsidRDefault="00D22681" w:rsidP="00D15B48">
            <w:pPr>
              <w:spacing w:line="240" w:lineRule="auto"/>
              <w:contextualSpacing w:val="0"/>
              <w:rPr>
                <w:sz w:val="24"/>
                <w:szCs w:val="24"/>
              </w:rPr>
            </w:pPr>
            <w:r w:rsidRPr="00B27719">
              <w:rPr>
                <w:rFonts w:eastAsia="Verdana"/>
                <w:sz w:val="24"/>
                <w:szCs w:val="24"/>
              </w:rPr>
              <w:lastRenderedPageBreak/>
              <w:t>13.</w:t>
            </w:r>
            <w:r w:rsidR="00D15B48" w:rsidRPr="00B27719">
              <w:rPr>
                <w:rFonts w:eastAsia="Verdana"/>
                <w:sz w:val="24"/>
                <w:szCs w:val="24"/>
              </w:rPr>
              <w:t>5</w:t>
            </w:r>
          </w:p>
        </w:tc>
        <w:tc>
          <w:tcPr>
            <w:tcW w:w="8175" w:type="dxa"/>
            <w:tcMar>
              <w:top w:w="100" w:type="dxa"/>
              <w:left w:w="100" w:type="dxa"/>
              <w:bottom w:w="100" w:type="dxa"/>
              <w:right w:w="100" w:type="dxa"/>
            </w:tcMar>
          </w:tcPr>
          <w:p w14:paraId="753F7DA9" w14:textId="17E2EA7B" w:rsidR="00D22681" w:rsidRPr="00B27719" w:rsidRDefault="00D22681">
            <w:pPr>
              <w:spacing w:line="240" w:lineRule="auto"/>
              <w:contextualSpacing w:val="0"/>
              <w:rPr>
                <w:sz w:val="24"/>
                <w:szCs w:val="24"/>
              </w:rPr>
            </w:pPr>
            <w:r w:rsidRPr="00B27719">
              <w:rPr>
                <w:sz w:val="24"/>
                <w:szCs w:val="24"/>
              </w:rPr>
              <w:t xml:space="preserve">Except as provided in clauses 13.1 and 13.2, the total liability of Pearson under this Agreement, whether in contract, tort or otherwise, shall in no circumstances exceed an aggregate amount equivalent to the annual fees paid by Institution under this Agreement averaged out over the life of the Agreement. </w:t>
            </w:r>
          </w:p>
        </w:tc>
      </w:tr>
      <w:tr w:rsidR="00D22681" w:rsidRPr="00B27719" w14:paraId="69179EA8" w14:textId="77777777">
        <w:trPr>
          <w:jc w:val="center"/>
        </w:trPr>
        <w:tc>
          <w:tcPr>
            <w:tcW w:w="1155" w:type="dxa"/>
            <w:tcMar>
              <w:top w:w="100" w:type="dxa"/>
              <w:left w:w="100" w:type="dxa"/>
              <w:bottom w:w="100" w:type="dxa"/>
              <w:right w:w="100" w:type="dxa"/>
            </w:tcMar>
          </w:tcPr>
          <w:p w14:paraId="73E0F8FA" w14:textId="0AD10233" w:rsidR="00D22681" w:rsidRPr="00B27719" w:rsidRDefault="00D22681">
            <w:pPr>
              <w:spacing w:line="240" w:lineRule="auto"/>
              <w:contextualSpacing w:val="0"/>
              <w:rPr>
                <w:sz w:val="24"/>
                <w:szCs w:val="24"/>
              </w:rPr>
            </w:pPr>
            <w:r w:rsidRPr="00B27719">
              <w:rPr>
                <w:rFonts w:eastAsia="Verdana"/>
                <w:sz w:val="24"/>
                <w:szCs w:val="24"/>
              </w:rPr>
              <w:t>13.</w:t>
            </w:r>
            <w:r w:rsidR="00D15B48" w:rsidRPr="00B27719">
              <w:rPr>
                <w:rFonts w:eastAsia="Verdana"/>
                <w:sz w:val="24"/>
                <w:szCs w:val="24"/>
              </w:rPr>
              <w:t>6</w:t>
            </w:r>
          </w:p>
          <w:p w14:paraId="56ACCC1F" w14:textId="774A2E59" w:rsidR="00D22681" w:rsidRPr="00B27719" w:rsidRDefault="00D22681" w:rsidP="001F4FBD">
            <w:pPr>
              <w:spacing w:line="240" w:lineRule="auto"/>
              <w:contextualSpacing w:val="0"/>
              <w:rPr>
                <w:sz w:val="24"/>
                <w:szCs w:val="24"/>
              </w:rPr>
            </w:pPr>
          </w:p>
        </w:tc>
        <w:tc>
          <w:tcPr>
            <w:tcW w:w="8175" w:type="dxa"/>
            <w:tcMar>
              <w:top w:w="100" w:type="dxa"/>
              <w:left w:w="100" w:type="dxa"/>
              <w:bottom w:w="100" w:type="dxa"/>
              <w:right w:w="100" w:type="dxa"/>
            </w:tcMar>
          </w:tcPr>
          <w:p w14:paraId="60990311" w14:textId="113B53CC" w:rsidR="00D22681" w:rsidRPr="00B27719" w:rsidRDefault="00D22681" w:rsidP="001F4FBD">
            <w:pPr>
              <w:spacing w:line="240" w:lineRule="auto"/>
              <w:contextualSpacing w:val="0"/>
              <w:rPr>
                <w:sz w:val="24"/>
                <w:szCs w:val="24"/>
              </w:rPr>
            </w:pPr>
            <w:r w:rsidRPr="00B27719">
              <w:rPr>
                <w:rFonts w:eastAsia="Verdana"/>
                <w:sz w:val="24"/>
                <w:szCs w:val="24"/>
              </w:rPr>
              <w:t>Subject to clause 13.1, Institution acknowledges that no re</w:t>
            </w:r>
            <w:r w:rsidRPr="00B27719">
              <w:rPr>
                <w:rFonts w:eastAsia="Verdana"/>
                <w:sz w:val="24"/>
                <w:szCs w:val="24"/>
                <w:highlight w:val="white"/>
              </w:rPr>
              <w:t>presentations</w:t>
            </w:r>
            <w:r w:rsidRPr="00B27719">
              <w:rPr>
                <w:rFonts w:eastAsia="Verdana"/>
                <w:sz w:val="24"/>
                <w:szCs w:val="24"/>
              </w:rPr>
              <w:t xml:space="preserve"> were made prior to entering into this Agreement. Institution agrees that, in entering into this Agreement, it did not rely on any representations (whether written or oral) of any kind or of any person other than those expressly set out in this Agreement. Institution shall have no remedy in respect of any representation (whether written or oral) made to it on which it relied in entering into this Agreement and Pearson shall have no liability otherwise than pursuant to the express terms of this Agreement.</w:t>
            </w:r>
          </w:p>
        </w:tc>
      </w:tr>
      <w:tr w:rsidR="00D22681" w:rsidRPr="00B27719" w14:paraId="407277B8" w14:textId="77777777">
        <w:trPr>
          <w:jc w:val="center"/>
        </w:trPr>
        <w:tc>
          <w:tcPr>
            <w:tcW w:w="1155" w:type="dxa"/>
            <w:tcMar>
              <w:top w:w="100" w:type="dxa"/>
              <w:left w:w="100" w:type="dxa"/>
              <w:bottom w:w="100" w:type="dxa"/>
              <w:right w:w="100" w:type="dxa"/>
            </w:tcMar>
          </w:tcPr>
          <w:p w14:paraId="4A2E7A0F" w14:textId="41B0BB0D" w:rsidR="00D22681" w:rsidRPr="00B27719" w:rsidRDefault="00D22681" w:rsidP="001F4FBD">
            <w:pPr>
              <w:spacing w:line="240" w:lineRule="auto"/>
              <w:contextualSpacing w:val="0"/>
              <w:rPr>
                <w:sz w:val="24"/>
                <w:szCs w:val="24"/>
              </w:rPr>
            </w:pPr>
            <w:r w:rsidRPr="00B27719">
              <w:rPr>
                <w:rFonts w:eastAsia="Verdana"/>
                <w:sz w:val="24"/>
                <w:szCs w:val="24"/>
              </w:rPr>
              <w:t>13</w:t>
            </w:r>
            <w:r w:rsidR="00D15B48" w:rsidRPr="00B27719">
              <w:rPr>
                <w:rFonts w:eastAsia="Verdana"/>
                <w:sz w:val="24"/>
                <w:szCs w:val="24"/>
              </w:rPr>
              <w:t>.7</w:t>
            </w:r>
          </w:p>
        </w:tc>
        <w:tc>
          <w:tcPr>
            <w:tcW w:w="8175" w:type="dxa"/>
            <w:tcMar>
              <w:top w:w="100" w:type="dxa"/>
              <w:left w:w="100" w:type="dxa"/>
              <w:bottom w:w="100" w:type="dxa"/>
              <w:right w:w="100" w:type="dxa"/>
            </w:tcMar>
          </w:tcPr>
          <w:p w14:paraId="740D61EB" w14:textId="7852F431" w:rsidR="00D22681" w:rsidRPr="00B27719" w:rsidRDefault="00D22681">
            <w:pPr>
              <w:spacing w:line="240" w:lineRule="auto"/>
              <w:contextualSpacing w:val="0"/>
              <w:rPr>
                <w:sz w:val="24"/>
                <w:szCs w:val="24"/>
              </w:rPr>
            </w:pPr>
            <w:r w:rsidRPr="00B27719">
              <w:rPr>
                <w:rFonts w:eastAsia="Verdana"/>
                <w:sz w:val="24"/>
                <w:szCs w:val="24"/>
              </w:rPr>
              <w:t>The Institution agrees to indemnify Pearson and keep Pearson indemnified against all loss, damage, costs, legal costs and professional and other expenses of any nature incurred under any claim, whether in contract, tort, including negligence, or any other form of action resulting from any claims brought against Pearson by a student of the Institution in relation to the Programmes or Higher National Qualifications.</w:t>
            </w:r>
          </w:p>
        </w:tc>
      </w:tr>
      <w:tr w:rsidR="00D22681" w:rsidRPr="00B27719" w14:paraId="083C5C6B" w14:textId="77777777">
        <w:trPr>
          <w:jc w:val="center"/>
        </w:trPr>
        <w:tc>
          <w:tcPr>
            <w:tcW w:w="1155" w:type="dxa"/>
            <w:tcMar>
              <w:top w:w="100" w:type="dxa"/>
              <w:left w:w="100" w:type="dxa"/>
              <w:bottom w:w="100" w:type="dxa"/>
              <w:right w:w="100" w:type="dxa"/>
            </w:tcMar>
          </w:tcPr>
          <w:p w14:paraId="3B58F201" w14:textId="35B04892" w:rsidR="00D22681" w:rsidRPr="00B27719" w:rsidRDefault="00D22681">
            <w:pPr>
              <w:spacing w:line="240" w:lineRule="auto"/>
              <w:contextualSpacing w:val="0"/>
              <w:rPr>
                <w:sz w:val="24"/>
                <w:szCs w:val="24"/>
              </w:rPr>
            </w:pPr>
            <w:r w:rsidRPr="00B27719">
              <w:rPr>
                <w:rFonts w:eastAsia="Verdana"/>
                <w:sz w:val="24"/>
                <w:szCs w:val="24"/>
              </w:rPr>
              <w:t>13</w:t>
            </w:r>
            <w:r w:rsidR="00D15B48" w:rsidRPr="00B27719">
              <w:rPr>
                <w:rFonts w:eastAsia="Verdana"/>
                <w:sz w:val="24"/>
                <w:szCs w:val="24"/>
              </w:rPr>
              <w:t>.8</w:t>
            </w:r>
          </w:p>
          <w:p w14:paraId="0267B7B9" w14:textId="216F067F" w:rsidR="00D22681" w:rsidRPr="00B27719" w:rsidRDefault="00D22681" w:rsidP="001F4FBD">
            <w:pPr>
              <w:spacing w:line="240" w:lineRule="auto"/>
              <w:contextualSpacing w:val="0"/>
              <w:rPr>
                <w:sz w:val="24"/>
                <w:szCs w:val="24"/>
              </w:rPr>
            </w:pPr>
          </w:p>
        </w:tc>
        <w:tc>
          <w:tcPr>
            <w:tcW w:w="8175" w:type="dxa"/>
            <w:tcMar>
              <w:top w:w="100" w:type="dxa"/>
              <w:left w:w="100" w:type="dxa"/>
              <w:bottom w:w="100" w:type="dxa"/>
              <w:right w:w="100" w:type="dxa"/>
            </w:tcMar>
          </w:tcPr>
          <w:p w14:paraId="7570ECE1" w14:textId="2F0E35E6" w:rsidR="00D22681" w:rsidRPr="00B27719" w:rsidRDefault="00D22681">
            <w:pPr>
              <w:spacing w:line="240" w:lineRule="auto"/>
              <w:contextualSpacing w:val="0"/>
              <w:rPr>
                <w:sz w:val="24"/>
                <w:szCs w:val="24"/>
              </w:rPr>
            </w:pPr>
            <w:r w:rsidRPr="00B27719">
              <w:rPr>
                <w:rFonts w:eastAsia="Verdana"/>
                <w:sz w:val="24"/>
                <w:szCs w:val="24"/>
              </w:rPr>
              <w:t>The provisions of this clause 13 shall continue after expiry or termination of the Agreement howsoever occasioned.</w:t>
            </w:r>
          </w:p>
        </w:tc>
      </w:tr>
      <w:tr w:rsidR="00D22681" w:rsidRPr="00B27719" w14:paraId="1CF913CB" w14:textId="77777777">
        <w:trPr>
          <w:jc w:val="center"/>
        </w:trPr>
        <w:tc>
          <w:tcPr>
            <w:tcW w:w="1155" w:type="dxa"/>
            <w:tcMar>
              <w:top w:w="100" w:type="dxa"/>
              <w:left w:w="100" w:type="dxa"/>
              <w:bottom w:w="100" w:type="dxa"/>
              <w:right w:w="100" w:type="dxa"/>
            </w:tcMar>
          </w:tcPr>
          <w:p w14:paraId="0EB21EE9" w14:textId="35F922AF" w:rsidR="00D22681" w:rsidRPr="00B27719" w:rsidRDefault="00D15B48" w:rsidP="001F4FBD">
            <w:pPr>
              <w:spacing w:line="240" w:lineRule="auto"/>
              <w:contextualSpacing w:val="0"/>
              <w:rPr>
                <w:b/>
                <w:sz w:val="24"/>
                <w:szCs w:val="24"/>
              </w:rPr>
            </w:pPr>
            <w:r w:rsidRPr="00B27719">
              <w:rPr>
                <w:rFonts w:eastAsia="Verdana"/>
                <w:b/>
                <w:sz w:val="24"/>
                <w:szCs w:val="24"/>
              </w:rPr>
              <w:t>14</w:t>
            </w:r>
          </w:p>
        </w:tc>
        <w:tc>
          <w:tcPr>
            <w:tcW w:w="8175" w:type="dxa"/>
            <w:tcMar>
              <w:top w:w="100" w:type="dxa"/>
              <w:left w:w="100" w:type="dxa"/>
              <w:bottom w:w="100" w:type="dxa"/>
              <w:right w:w="100" w:type="dxa"/>
            </w:tcMar>
          </w:tcPr>
          <w:p w14:paraId="783ED187" w14:textId="6CAECCDF" w:rsidR="00D22681" w:rsidRPr="00B27719" w:rsidRDefault="00D22681" w:rsidP="0041429D">
            <w:pPr>
              <w:spacing w:line="240" w:lineRule="auto"/>
              <w:contextualSpacing w:val="0"/>
              <w:rPr>
                <w:sz w:val="24"/>
                <w:szCs w:val="24"/>
              </w:rPr>
            </w:pPr>
            <w:r w:rsidRPr="00B27719">
              <w:rPr>
                <w:rFonts w:eastAsia="Verdana"/>
                <w:b/>
                <w:sz w:val="24"/>
                <w:szCs w:val="24"/>
              </w:rPr>
              <w:t>GENERAL</w:t>
            </w:r>
            <w:r w:rsidRPr="00B27719">
              <w:rPr>
                <w:rFonts w:eastAsia="Verdana"/>
                <w:sz w:val="24"/>
                <w:szCs w:val="24"/>
              </w:rPr>
              <w:t>:</w:t>
            </w:r>
          </w:p>
        </w:tc>
      </w:tr>
      <w:tr w:rsidR="00D22681" w:rsidRPr="00B27719" w14:paraId="0B6277CE" w14:textId="77777777">
        <w:trPr>
          <w:jc w:val="center"/>
        </w:trPr>
        <w:tc>
          <w:tcPr>
            <w:tcW w:w="1155" w:type="dxa"/>
            <w:tcMar>
              <w:top w:w="100" w:type="dxa"/>
              <w:left w:w="100" w:type="dxa"/>
              <w:bottom w:w="100" w:type="dxa"/>
              <w:right w:w="100" w:type="dxa"/>
            </w:tcMar>
          </w:tcPr>
          <w:p w14:paraId="1A790E04" w14:textId="1215D8D7" w:rsidR="00D22681" w:rsidRPr="00B27719" w:rsidRDefault="00D15B48" w:rsidP="001F4FBD">
            <w:pPr>
              <w:spacing w:line="240" w:lineRule="auto"/>
              <w:contextualSpacing w:val="0"/>
              <w:rPr>
                <w:sz w:val="24"/>
                <w:szCs w:val="24"/>
              </w:rPr>
            </w:pPr>
            <w:r w:rsidRPr="00B27719">
              <w:rPr>
                <w:rFonts w:eastAsia="Verdana"/>
                <w:sz w:val="24"/>
                <w:szCs w:val="24"/>
              </w:rPr>
              <w:t>14.1</w:t>
            </w:r>
          </w:p>
        </w:tc>
        <w:tc>
          <w:tcPr>
            <w:tcW w:w="8175" w:type="dxa"/>
            <w:tcMar>
              <w:top w:w="100" w:type="dxa"/>
              <w:left w:w="100" w:type="dxa"/>
              <w:bottom w:w="100" w:type="dxa"/>
              <w:right w:w="100" w:type="dxa"/>
            </w:tcMar>
          </w:tcPr>
          <w:p w14:paraId="06948943" w14:textId="4CC51E07" w:rsidR="00D22681" w:rsidRPr="00B27719" w:rsidRDefault="00D22681">
            <w:pPr>
              <w:spacing w:line="240" w:lineRule="auto"/>
              <w:contextualSpacing w:val="0"/>
              <w:rPr>
                <w:sz w:val="24"/>
                <w:szCs w:val="24"/>
              </w:rPr>
            </w:pPr>
            <w:r w:rsidRPr="00B27719">
              <w:rPr>
                <w:rFonts w:eastAsia="Verdana"/>
                <w:sz w:val="24"/>
                <w:szCs w:val="24"/>
              </w:rPr>
              <w:t>No delay by either party in enforcing its rights shall prejudice or restrict the rights of that party, and no waiver of any such rights or of any breach of any contractual terms shall be deemed to be a waiver of any other right or of any later breach.</w:t>
            </w:r>
          </w:p>
        </w:tc>
      </w:tr>
      <w:tr w:rsidR="00D22681" w:rsidRPr="00B27719" w14:paraId="27F6213F" w14:textId="77777777">
        <w:trPr>
          <w:jc w:val="center"/>
        </w:trPr>
        <w:tc>
          <w:tcPr>
            <w:tcW w:w="1155" w:type="dxa"/>
            <w:tcMar>
              <w:top w:w="100" w:type="dxa"/>
              <w:left w:w="100" w:type="dxa"/>
              <w:bottom w:w="100" w:type="dxa"/>
              <w:right w:w="100" w:type="dxa"/>
            </w:tcMar>
          </w:tcPr>
          <w:p w14:paraId="3025328A" w14:textId="6B2C6693" w:rsidR="00D22681" w:rsidRPr="00B27719" w:rsidRDefault="00D22681">
            <w:pPr>
              <w:spacing w:line="240" w:lineRule="auto"/>
              <w:contextualSpacing w:val="0"/>
              <w:rPr>
                <w:sz w:val="24"/>
                <w:szCs w:val="24"/>
              </w:rPr>
            </w:pPr>
            <w:r w:rsidRPr="00B27719">
              <w:rPr>
                <w:rFonts w:eastAsia="Verdana"/>
                <w:sz w:val="24"/>
                <w:szCs w:val="24"/>
              </w:rPr>
              <w:t>14</w:t>
            </w:r>
            <w:r w:rsidR="00D15B48" w:rsidRPr="00B27719">
              <w:rPr>
                <w:rFonts w:eastAsia="Verdana"/>
                <w:sz w:val="24"/>
                <w:szCs w:val="24"/>
              </w:rPr>
              <w:t>.2</w:t>
            </w:r>
          </w:p>
          <w:p w14:paraId="5D41C20B" w14:textId="411DD29A"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1AA78716" w14:textId="01F2CA59" w:rsidR="00D22681" w:rsidRPr="00B27719" w:rsidRDefault="00D22681" w:rsidP="00FD46C3">
            <w:pPr>
              <w:spacing w:line="240" w:lineRule="auto"/>
              <w:contextualSpacing w:val="0"/>
              <w:rPr>
                <w:sz w:val="24"/>
                <w:szCs w:val="24"/>
              </w:rPr>
            </w:pPr>
            <w:r w:rsidRPr="00B27719">
              <w:rPr>
                <w:rFonts w:eastAsia="Verdana"/>
                <w:sz w:val="24"/>
                <w:szCs w:val="24"/>
              </w:rPr>
              <w:t>Any amendment, waiver or variation of this Agreement shall not be binding on the parties unless set out in writing, expressed to amend this Agreement and signed by or on behalf of each of the parties.</w:t>
            </w:r>
          </w:p>
        </w:tc>
      </w:tr>
      <w:tr w:rsidR="00D22681" w:rsidRPr="00B27719" w14:paraId="01B06D97" w14:textId="77777777">
        <w:trPr>
          <w:jc w:val="center"/>
        </w:trPr>
        <w:tc>
          <w:tcPr>
            <w:tcW w:w="1155" w:type="dxa"/>
            <w:tcMar>
              <w:top w:w="100" w:type="dxa"/>
              <w:left w:w="100" w:type="dxa"/>
              <w:bottom w:w="100" w:type="dxa"/>
              <w:right w:w="100" w:type="dxa"/>
            </w:tcMar>
          </w:tcPr>
          <w:p w14:paraId="286647F4" w14:textId="315F49A4" w:rsidR="00D22681" w:rsidRPr="00B27719" w:rsidRDefault="00D22681" w:rsidP="001F4FBD">
            <w:pPr>
              <w:spacing w:line="240" w:lineRule="auto"/>
              <w:contextualSpacing w:val="0"/>
              <w:rPr>
                <w:sz w:val="24"/>
                <w:szCs w:val="24"/>
              </w:rPr>
            </w:pPr>
            <w:r w:rsidRPr="00B27719">
              <w:rPr>
                <w:rFonts w:eastAsia="Verdana"/>
                <w:sz w:val="24"/>
                <w:szCs w:val="24"/>
              </w:rPr>
              <w:t>14</w:t>
            </w:r>
            <w:r w:rsidR="00D15B48" w:rsidRPr="00B27719">
              <w:rPr>
                <w:rFonts w:eastAsia="Verdana"/>
                <w:sz w:val="24"/>
                <w:szCs w:val="24"/>
              </w:rPr>
              <w:t>.3</w:t>
            </w:r>
          </w:p>
        </w:tc>
        <w:tc>
          <w:tcPr>
            <w:tcW w:w="8175" w:type="dxa"/>
            <w:tcMar>
              <w:top w:w="100" w:type="dxa"/>
              <w:left w:w="100" w:type="dxa"/>
              <w:bottom w:w="100" w:type="dxa"/>
              <w:right w:w="100" w:type="dxa"/>
            </w:tcMar>
          </w:tcPr>
          <w:p w14:paraId="76E31BDA" w14:textId="6C7001A3" w:rsidR="00D22681" w:rsidRPr="00B27719" w:rsidRDefault="00D22681" w:rsidP="00FD46C3">
            <w:pPr>
              <w:spacing w:line="240" w:lineRule="auto"/>
              <w:contextualSpacing w:val="0"/>
              <w:rPr>
                <w:sz w:val="24"/>
                <w:szCs w:val="24"/>
              </w:rPr>
            </w:pPr>
            <w:r w:rsidRPr="00B27719">
              <w:rPr>
                <w:rFonts w:eastAsia="Verdana"/>
                <w:sz w:val="24"/>
                <w:szCs w:val="24"/>
              </w:rPr>
              <w:t>If any provision of this Agreement is judged to be illegal or unenforceable, the continuation in full force and effect of the remainder of the provisions shall not be prejudiced.</w:t>
            </w:r>
          </w:p>
        </w:tc>
      </w:tr>
      <w:tr w:rsidR="00D22681" w:rsidRPr="00B27719" w14:paraId="011678DF" w14:textId="77777777">
        <w:trPr>
          <w:jc w:val="center"/>
        </w:trPr>
        <w:tc>
          <w:tcPr>
            <w:tcW w:w="1155" w:type="dxa"/>
            <w:tcMar>
              <w:top w:w="100" w:type="dxa"/>
              <w:left w:w="100" w:type="dxa"/>
              <w:bottom w:w="100" w:type="dxa"/>
              <w:right w:w="100" w:type="dxa"/>
            </w:tcMar>
          </w:tcPr>
          <w:p w14:paraId="1AD339A9" w14:textId="167108E3" w:rsidR="00D22681" w:rsidRPr="00B27719" w:rsidRDefault="00D22681">
            <w:pPr>
              <w:spacing w:line="240" w:lineRule="auto"/>
              <w:contextualSpacing w:val="0"/>
              <w:rPr>
                <w:sz w:val="24"/>
                <w:szCs w:val="24"/>
              </w:rPr>
            </w:pPr>
            <w:r w:rsidRPr="00B27719">
              <w:rPr>
                <w:rFonts w:eastAsia="Verdana"/>
                <w:sz w:val="24"/>
                <w:szCs w:val="24"/>
              </w:rPr>
              <w:lastRenderedPageBreak/>
              <w:t>14</w:t>
            </w:r>
            <w:r w:rsidR="00D15B48" w:rsidRPr="00B27719">
              <w:rPr>
                <w:rFonts w:eastAsia="Verdana"/>
                <w:sz w:val="24"/>
                <w:szCs w:val="24"/>
              </w:rPr>
              <w:t>.4</w:t>
            </w:r>
          </w:p>
        </w:tc>
        <w:tc>
          <w:tcPr>
            <w:tcW w:w="8175" w:type="dxa"/>
            <w:tcMar>
              <w:top w:w="100" w:type="dxa"/>
              <w:left w:w="100" w:type="dxa"/>
              <w:bottom w:w="100" w:type="dxa"/>
              <w:right w:w="100" w:type="dxa"/>
            </w:tcMar>
          </w:tcPr>
          <w:p w14:paraId="2869E22C" w14:textId="48221A9B" w:rsidR="00D22681" w:rsidRPr="00B27719" w:rsidRDefault="00D22681" w:rsidP="00FD46C3">
            <w:pPr>
              <w:spacing w:line="240" w:lineRule="auto"/>
              <w:contextualSpacing w:val="0"/>
              <w:rPr>
                <w:sz w:val="24"/>
                <w:szCs w:val="24"/>
              </w:rPr>
            </w:pPr>
            <w:r w:rsidRPr="00B27719">
              <w:rPr>
                <w:rFonts w:eastAsia="Verdana"/>
                <w:sz w:val="24"/>
                <w:szCs w:val="24"/>
              </w:rPr>
              <w:t>The Institution may not, without the prior written consent of Pearson, assign, transfer, charge, sub-contract or deal in any other manner with all or any of its rights or obligations under this Agreement.</w:t>
            </w:r>
          </w:p>
        </w:tc>
      </w:tr>
      <w:tr w:rsidR="00D22681" w:rsidRPr="00B27719" w14:paraId="595896E2" w14:textId="77777777" w:rsidTr="00D15B48">
        <w:trPr>
          <w:trHeight w:val="548"/>
          <w:jc w:val="center"/>
        </w:trPr>
        <w:tc>
          <w:tcPr>
            <w:tcW w:w="1155" w:type="dxa"/>
            <w:tcMar>
              <w:top w:w="100" w:type="dxa"/>
              <w:left w:w="100" w:type="dxa"/>
              <w:bottom w:w="100" w:type="dxa"/>
              <w:right w:w="100" w:type="dxa"/>
            </w:tcMar>
          </w:tcPr>
          <w:p w14:paraId="5627B00B" w14:textId="74FA86B6" w:rsidR="00D22681" w:rsidRPr="00B27719" w:rsidRDefault="00D22681" w:rsidP="001F4FBD">
            <w:pPr>
              <w:spacing w:line="240" w:lineRule="auto"/>
              <w:contextualSpacing w:val="0"/>
              <w:rPr>
                <w:sz w:val="24"/>
                <w:szCs w:val="24"/>
              </w:rPr>
            </w:pPr>
            <w:r w:rsidRPr="00B27719">
              <w:rPr>
                <w:rFonts w:eastAsia="Verdana"/>
                <w:sz w:val="24"/>
                <w:szCs w:val="24"/>
              </w:rPr>
              <w:t>14</w:t>
            </w:r>
            <w:r w:rsidR="00D15B48" w:rsidRPr="00B27719">
              <w:rPr>
                <w:rFonts w:eastAsia="Verdana"/>
                <w:sz w:val="24"/>
                <w:szCs w:val="24"/>
              </w:rPr>
              <w:t>.5</w:t>
            </w:r>
          </w:p>
        </w:tc>
        <w:tc>
          <w:tcPr>
            <w:tcW w:w="8175" w:type="dxa"/>
            <w:tcMar>
              <w:top w:w="100" w:type="dxa"/>
              <w:left w:w="100" w:type="dxa"/>
              <w:bottom w:w="100" w:type="dxa"/>
              <w:right w:w="100" w:type="dxa"/>
            </w:tcMar>
          </w:tcPr>
          <w:p w14:paraId="4B997634" w14:textId="51F68306" w:rsidR="00D22681" w:rsidRPr="00B27719" w:rsidRDefault="00D22681">
            <w:pPr>
              <w:spacing w:line="240" w:lineRule="auto"/>
              <w:contextualSpacing w:val="0"/>
              <w:rPr>
                <w:sz w:val="24"/>
                <w:szCs w:val="24"/>
              </w:rPr>
            </w:pPr>
            <w:r w:rsidRPr="00B27719">
              <w:rPr>
                <w:rFonts w:eastAsia="Verdana"/>
                <w:sz w:val="24"/>
                <w:szCs w:val="24"/>
              </w:rPr>
              <w:t>No term of this Agreement is intended to confer a benefit on, or to be enforceable by, any person who is not a party to this Agreement.</w:t>
            </w:r>
          </w:p>
        </w:tc>
      </w:tr>
      <w:tr w:rsidR="00D22681" w:rsidRPr="00B27719" w14:paraId="365B27CC" w14:textId="77777777">
        <w:trPr>
          <w:jc w:val="center"/>
        </w:trPr>
        <w:tc>
          <w:tcPr>
            <w:tcW w:w="1155" w:type="dxa"/>
            <w:tcMar>
              <w:top w:w="100" w:type="dxa"/>
              <w:left w:w="100" w:type="dxa"/>
              <w:bottom w:w="100" w:type="dxa"/>
              <w:right w:w="100" w:type="dxa"/>
            </w:tcMar>
          </w:tcPr>
          <w:p w14:paraId="10E9DFD1" w14:textId="3FD25364" w:rsidR="00D22681" w:rsidRPr="00B27719" w:rsidRDefault="00D22681">
            <w:pPr>
              <w:spacing w:line="240" w:lineRule="auto"/>
              <w:contextualSpacing w:val="0"/>
              <w:rPr>
                <w:sz w:val="24"/>
                <w:szCs w:val="24"/>
              </w:rPr>
            </w:pPr>
            <w:r w:rsidRPr="00B27719">
              <w:rPr>
                <w:rFonts w:eastAsia="Verdana"/>
                <w:sz w:val="24"/>
                <w:szCs w:val="24"/>
              </w:rPr>
              <w:t>14</w:t>
            </w:r>
            <w:r w:rsidR="00D15B48" w:rsidRPr="00B27719">
              <w:rPr>
                <w:rFonts w:eastAsia="Verdana"/>
                <w:sz w:val="24"/>
                <w:szCs w:val="24"/>
              </w:rPr>
              <w:t>.6</w:t>
            </w:r>
          </w:p>
          <w:p w14:paraId="36A14ED1" w14:textId="790D5E5C" w:rsidR="00D22681" w:rsidRPr="00B27719" w:rsidRDefault="00D22681" w:rsidP="001F4FBD">
            <w:pPr>
              <w:spacing w:line="240" w:lineRule="auto"/>
              <w:contextualSpacing w:val="0"/>
              <w:rPr>
                <w:sz w:val="24"/>
                <w:szCs w:val="24"/>
              </w:rPr>
            </w:pPr>
          </w:p>
        </w:tc>
        <w:tc>
          <w:tcPr>
            <w:tcW w:w="8175" w:type="dxa"/>
            <w:tcMar>
              <w:top w:w="100" w:type="dxa"/>
              <w:left w:w="100" w:type="dxa"/>
              <w:bottom w:w="100" w:type="dxa"/>
              <w:right w:w="100" w:type="dxa"/>
            </w:tcMar>
          </w:tcPr>
          <w:p w14:paraId="65598549" w14:textId="57C18A91" w:rsidR="00D22681" w:rsidRPr="00B27719" w:rsidRDefault="00D22681" w:rsidP="0041429D">
            <w:pPr>
              <w:spacing w:line="240" w:lineRule="auto"/>
              <w:contextualSpacing w:val="0"/>
              <w:rPr>
                <w:sz w:val="24"/>
                <w:szCs w:val="24"/>
              </w:rPr>
            </w:pPr>
            <w:r w:rsidRPr="00B27719">
              <w:rPr>
                <w:rFonts w:eastAsia="Verdana"/>
                <w:sz w:val="24"/>
                <w:szCs w:val="24"/>
              </w:rPr>
              <w:t>Any notice required to be given pursuant to this Agreement shall be in writing, and shall be sent to the other party marked for the attention of the person at the address set out for such party in this Agreement. Notices may be sent by first class mail or fax, provided that the faxes are confirmed within 24 business hours by first class mailed confirmation of a copy.</w:t>
            </w:r>
          </w:p>
        </w:tc>
      </w:tr>
      <w:tr w:rsidR="00D22681" w:rsidRPr="00B27719" w14:paraId="2E835036" w14:textId="77777777">
        <w:trPr>
          <w:jc w:val="center"/>
        </w:trPr>
        <w:tc>
          <w:tcPr>
            <w:tcW w:w="1155" w:type="dxa"/>
            <w:tcMar>
              <w:top w:w="100" w:type="dxa"/>
              <w:left w:w="100" w:type="dxa"/>
              <w:bottom w:w="100" w:type="dxa"/>
              <w:right w:w="100" w:type="dxa"/>
            </w:tcMar>
          </w:tcPr>
          <w:p w14:paraId="36EDCF18" w14:textId="1125C4BE" w:rsidR="00D22681" w:rsidRPr="00B27719" w:rsidRDefault="00D15B48">
            <w:pPr>
              <w:spacing w:line="240" w:lineRule="auto"/>
              <w:contextualSpacing w:val="0"/>
              <w:rPr>
                <w:b/>
                <w:sz w:val="24"/>
                <w:szCs w:val="24"/>
              </w:rPr>
            </w:pPr>
            <w:r w:rsidRPr="00B27719">
              <w:rPr>
                <w:rFonts w:eastAsia="Verdana"/>
                <w:b/>
                <w:sz w:val="24"/>
                <w:szCs w:val="24"/>
              </w:rPr>
              <w:t>15</w:t>
            </w:r>
          </w:p>
          <w:p w14:paraId="7DDC9DF4" w14:textId="20138AC6" w:rsidR="00D22681" w:rsidRPr="00B27719" w:rsidRDefault="00D22681">
            <w:pPr>
              <w:spacing w:line="240" w:lineRule="auto"/>
              <w:contextualSpacing w:val="0"/>
              <w:rPr>
                <w:sz w:val="24"/>
                <w:szCs w:val="24"/>
              </w:rPr>
            </w:pPr>
          </w:p>
        </w:tc>
        <w:tc>
          <w:tcPr>
            <w:tcW w:w="8175" w:type="dxa"/>
            <w:tcMar>
              <w:top w:w="100" w:type="dxa"/>
              <w:left w:w="100" w:type="dxa"/>
              <w:bottom w:w="100" w:type="dxa"/>
              <w:right w:w="100" w:type="dxa"/>
            </w:tcMar>
          </w:tcPr>
          <w:p w14:paraId="13A4A60F" w14:textId="00EBFAA8" w:rsidR="00D22681" w:rsidRPr="00B27719" w:rsidRDefault="00D22681">
            <w:pPr>
              <w:spacing w:line="240" w:lineRule="auto"/>
              <w:contextualSpacing w:val="0"/>
              <w:rPr>
                <w:sz w:val="24"/>
                <w:szCs w:val="24"/>
              </w:rPr>
            </w:pPr>
            <w:r w:rsidRPr="00B27719">
              <w:rPr>
                <w:rFonts w:eastAsia="Verdana"/>
                <w:b/>
                <w:sz w:val="24"/>
                <w:szCs w:val="24"/>
              </w:rPr>
              <w:t>RELATIONSHIP</w:t>
            </w:r>
            <w:r w:rsidRPr="00B27719">
              <w:rPr>
                <w:rFonts w:eastAsia="Verdana"/>
                <w:sz w:val="24"/>
                <w:szCs w:val="24"/>
              </w:rPr>
              <w:t>:</w:t>
            </w:r>
          </w:p>
        </w:tc>
      </w:tr>
      <w:tr w:rsidR="00D22681" w:rsidRPr="00B27719" w14:paraId="7CEA2A54" w14:textId="77777777">
        <w:trPr>
          <w:jc w:val="center"/>
        </w:trPr>
        <w:tc>
          <w:tcPr>
            <w:tcW w:w="1155" w:type="dxa"/>
            <w:tcMar>
              <w:top w:w="100" w:type="dxa"/>
              <w:left w:w="100" w:type="dxa"/>
              <w:bottom w:w="100" w:type="dxa"/>
              <w:right w:w="100" w:type="dxa"/>
            </w:tcMar>
          </w:tcPr>
          <w:p w14:paraId="7EA8FB62" w14:textId="3164BB5E" w:rsidR="00D22681" w:rsidRPr="00B27719" w:rsidRDefault="00D15B48" w:rsidP="0041429D">
            <w:pPr>
              <w:spacing w:line="240" w:lineRule="auto"/>
              <w:contextualSpacing w:val="0"/>
              <w:rPr>
                <w:sz w:val="24"/>
                <w:szCs w:val="24"/>
              </w:rPr>
            </w:pPr>
            <w:r w:rsidRPr="00B27719">
              <w:rPr>
                <w:rFonts w:eastAsia="Verdana"/>
                <w:sz w:val="24"/>
                <w:szCs w:val="24"/>
              </w:rPr>
              <w:t>15.1</w:t>
            </w:r>
          </w:p>
        </w:tc>
        <w:tc>
          <w:tcPr>
            <w:tcW w:w="8175" w:type="dxa"/>
            <w:tcMar>
              <w:top w:w="100" w:type="dxa"/>
              <w:left w:w="100" w:type="dxa"/>
              <w:bottom w:w="100" w:type="dxa"/>
              <w:right w:w="100" w:type="dxa"/>
            </w:tcMar>
          </w:tcPr>
          <w:p w14:paraId="099D91AC" w14:textId="1E34A223" w:rsidR="00D22681" w:rsidRPr="00B27719" w:rsidRDefault="00D22681">
            <w:pPr>
              <w:spacing w:line="240" w:lineRule="auto"/>
              <w:contextualSpacing w:val="0"/>
              <w:rPr>
                <w:sz w:val="24"/>
                <w:szCs w:val="24"/>
              </w:rPr>
            </w:pPr>
            <w:r w:rsidRPr="00B27719">
              <w:rPr>
                <w:rFonts w:eastAsia="Verdana"/>
                <w:sz w:val="24"/>
                <w:szCs w:val="24"/>
              </w:rPr>
              <w:t>Nothing in this Agreement shall create or be deemed to create a legal partnership or the relationship of principal and agent between the parties.</w:t>
            </w:r>
          </w:p>
        </w:tc>
      </w:tr>
      <w:tr w:rsidR="00D22681" w:rsidRPr="00B27719" w14:paraId="6E5F2766" w14:textId="77777777">
        <w:trPr>
          <w:jc w:val="center"/>
        </w:trPr>
        <w:tc>
          <w:tcPr>
            <w:tcW w:w="1155" w:type="dxa"/>
            <w:tcMar>
              <w:top w:w="100" w:type="dxa"/>
              <w:left w:w="100" w:type="dxa"/>
              <w:bottom w:w="100" w:type="dxa"/>
              <w:right w:w="100" w:type="dxa"/>
            </w:tcMar>
          </w:tcPr>
          <w:p w14:paraId="0D7A8E11" w14:textId="1D8A4DDF" w:rsidR="00D22681" w:rsidRPr="00B27719" w:rsidRDefault="00D22681">
            <w:pPr>
              <w:spacing w:line="240" w:lineRule="auto"/>
              <w:contextualSpacing w:val="0"/>
              <w:rPr>
                <w:sz w:val="24"/>
                <w:szCs w:val="24"/>
              </w:rPr>
            </w:pPr>
            <w:r w:rsidRPr="00B27719">
              <w:rPr>
                <w:rFonts w:eastAsia="Verdana"/>
                <w:b/>
                <w:sz w:val="24"/>
                <w:szCs w:val="24"/>
              </w:rPr>
              <w:t>1</w:t>
            </w:r>
            <w:r w:rsidR="00D15B48" w:rsidRPr="00B27719">
              <w:rPr>
                <w:rFonts w:eastAsia="Verdana"/>
                <w:b/>
                <w:sz w:val="24"/>
                <w:szCs w:val="24"/>
              </w:rPr>
              <w:t>6</w:t>
            </w:r>
          </w:p>
          <w:p w14:paraId="3E66D738" w14:textId="643CD9C0" w:rsidR="00D22681" w:rsidRPr="00B27719" w:rsidRDefault="00D22681" w:rsidP="0041429D">
            <w:pPr>
              <w:spacing w:line="240" w:lineRule="auto"/>
              <w:contextualSpacing w:val="0"/>
              <w:rPr>
                <w:sz w:val="24"/>
                <w:szCs w:val="24"/>
              </w:rPr>
            </w:pPr>
          </w:p>
        </w:tc>
        <w:tc>
          <w:tcPr>
            <w:tcW w:w="8175" w:type="dxa"/>
            <w:tcMar>
              <w:top w:w="100" w:type="dxa"/>
              <w:left w:w="100" w:type="dxa"/>
              <w:bottom w:w="100" w:type="dxa"/>
              <w:right w:w="100" w:type="dxa"/>
            </w:tcMar>
          </w:tcPr>
          <w:p w14:paraId="383B3542" w14:textId="77777777" w:rsidR="00D22681" w:rsidRPr="00B27719" w:rsidRDefault="00D22681">
            <w:pPr>
              <w:spacing w:line="240" w:lineRule="auto"/>
              <w:contextualSpacing w:val="0"/>
              <w:rPr>
                <w:sz w:val="24"/>
                <w:szCs w:val="24"/>
              </w:rPr>
            </w:pPr>
            <w:r w:rsidRPr="00B27719">
              <w:rPr>
                <w:rFonts w:eastAsia="Verdana"/>
                <w:b/>
                <w:sz w:val="24"/>
                <w:szCs w:val="24"/>
              </w:rPr>
              <w:t>GOVERNING LAW</w:t>
            </w:r>
            <w:r w:rsidRPr="00B27719">
              <w:rPr>
                <w:rFonts w:eastAsia="Verdana"/>
                <w:sz w:val="24"/>
                <w:szCs w:val="24"/>
              </w:rPr>
              <w:t>:</w:t>
            </w:r>
          </w:p>
          <w:p w14:paraId="0A5B5F2E" w14:textId="31A8EA8F" w:rsidR="00D22681" w:rsidRPr="00B27719" w:rsidRDefault="00D22681">
            <w:pPr>
              <w:spacing w:line="240" w:lineRule="auto"/>
              <w:contextualSpacing w:val="0"/>
              <w:rPr>
                <w:sz w:val="24"/>
                <w:szCs w:val="24"/>
              </w:rPr>
            </w:pPr>
          </w:p>
        </w:tc>
      </w:tr>
      <w:tr w:rsidR="00D22681" w:rsidRPr="00B27719" w14:paraId="24995BED" w14:textId="77777777" w:rsidTr="00B640B3">
        <w:trPr>
          <w:jc w:val="center"/>
        </w:trPr>
        <w:tc>
          <w:tcPr>
            <w:tcW w:w="1155" w:type="dxa"/>
            <w:tcBorders>
              <w:bottom w:val="single" w:sz="4" w:space="0" w:color="auto"/>
            </w:tcBorders>
            <w:tcMar>
              <w:top w:w="100" w:type="dxa"/>
              <w:left w:w="100" w:type="dxa"/>
              <w:bottom w:w="100" w:type="dxa"/>
              <w:right w:w="100" w:type="dxa"/>
            </w:tcMar>
          </w:tcPr>
          <w:p w14:paraId="53775D07" w14:textId="13E086C9" w:rsidR="00D22681" w:rsidRPr="00B27719" w:rsidRDefault="00D22681" w:rsidP="00D15B48">
            <w:pPr>
              <w:spacing w:line="240" w:lineRule="auto"/>
              <w:contextualSpacing w:val="0"/>
              <w:rPr>
                <w:sz w:val="24"/>
                <w:szCs w:val="24"/>
              </w:rPr>
            </w:pPr>
            <w:r w:rsidRPr="00B27719">
              <w:rPr>
                <w:rFonts w:eastAsia="Verdana"/>
                <w:sz w:val="24"/>
                <w:szCs w:val="24"/>
              </w:rPr>
              <w:t>1</w:t>
            </w:r>
            <w:r w:rsidR="00D15B48" w:rsidRPr="00B27719">
              <w:rPr>
                <w:rFonts w:eastAsia="Verdana"/>
                <w:sz w:val="24"/>
                <w:szCs w:val="24"/>
              </w:rPr>
              <w:t>6</w:t>
            </w:r>
            <w:r w:rsidRPr="00B27719">
              <w:rPr>
                <w:rFonts w:eastAsia="Verdana"/>
                <w:sz w:val="24"/>
                <w:szCs w:val="24"/>
              </w:rPr>
              <w:t>.1</w:t>
            </w:r>
          </w:p>
        </w:tc>
        <w:tc>
          <w:tcPr>
            <w:tcW w:w="8175" w:type="dxa"/>
            <w:tcBorders>
              <w:bottom w:val="single" w:sz="4" w:space="0" w:color="auto"/>
            </w:tcBorders>
            <w:tcMar>
              <w:top w:w="100" w:type="dxa"/>
              <w:left w:w="100" w:type="dxa"/>
              <w:bottom w:w="100" w:type="dxa"/>
              <w:right w:w="100" w:type="dxa"/>
            </w:tcMar>
          </w:tcPr>
          <w:p w14:paraId="0D703476" w14:textId="3A34486F" w:rsidR="00D22681" w:rsidRPr="00B27719" w:rsidRDefault="00D22681">
            <w:pPr>
              <w:spacing w:line="240" w:lineRule="auto"/>
              <w:contextualSpacing w:val="0"/>
              <w:rPr>
                <w:sz w:val="24"/>
                <w:szCs w:val="24"/>
              </w:rPr>
            </w:pPr>
            <w:r w:rsidRPr="00B27719">
              <w:rPr>
                <w:rFonts w:eastAsia="Verdana"/>
                <w:sz w:val="24"/>
                <w:szCs w:val="24"/>
              </w:rPr>
              <w:t>This Agreement shall be governed by, construed in accordance with, and each party hereby submits to the exclusive jurisdiction of the English courts.</w:t>
            </w:r>
          </w:p>
        </w:tc>
      </w:tr>
      <w:tr w:rsidR="00B27719" w:rsidRPr="00B27719" w14:paraId="7645A108" w14:textId="77777777" w:rsidTr="00B640B3">
        <w:trPr>
          <w:jc w:val="center"/>
        </w:trPr>
        <w:tc>
          <w:tcPr>
            <w:tcW w:w="1155" w:type="dxa"/>
            <w:tcBorders>
              <w:bottom w:val="single" w:sz="4" w:space="0" w:color="auto"/>
            </w:tcBorders>
            <w:tcMar>
              <w:top w:w="100" w:type="dxa"/>
              <w:left w:w="100" w:type="dxa"/>
              <w:bottom w:w="100" w:type="dxa"/>
              <w:right w:w="100" w:type="dxa"/>
            </w:tcMar>
          </w:tcPr>
          <w:p w14:paraId="6E5DB337" w14:textId="77777777" w:rsidR="00B27719" w:rsidRPr="00B27719" w:rsidRDefault="00B27719" w:rsidP="00D15B48">
            <w:pPr>
              <w:spacing w:line="240" w:lineRule="auto"/>
              <w:rPr>
                <w:rFonts w:eastAsia="Verdana"/>
                <w:sz w:val="24"/>
                <w:szCs w:val="24"/>
              </w:rPr>
            </w:pPr>
          </w:p>
        </w:tc>
        <w:tc>
          <w:tcPr>
            <w:tcW w:w="8175" w:type="dxa"/>
            <w:tcBorders>
              <w:bottom w:val="single" w:sz="4" w:space="0" w:color="auto"/>
            </w:tcBorders>
            <w:tcMar>
              <w:top w:w="100" w:type="dxa"/>
              <w:left w:w="100" w:type="dxa"/>
              <w:bottom w:w="100" w:type="dxa"/>
              <w:right w:w="100" w:type="dxa"/>
            </w:tcMar>
          </w:tcPr>
          <w:p w14:paraId="1BB12784" w14:textId="77777777" w:rsidR="00B27719" w:rsidRPr="00B27719" w:rsidRDefault="00B27719">
            <w:pPr>
              <w:spacing w:line="240" w:lineRule="auto"/>
              <w:rPr>
                <w:rFonts w:eastAsia="Verdana"/>
                <w:sz w:val="24"/>
                <w:szCs w:val="24"/>
              </w:rPr>
            </w:pPr>
          </w:p>
        </w:tc>
      </w:tr>
    </w:tbl>
    <w:tbl>
      <w:tblPr>
        <w:tblStyle w:val="a0"/>
        <w:tblW w:w="9355"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6"/>
        <w:gridCol w:w="4819"/>
      </w:tblGrid>
      <w:tr w:rsidR="000F7F2B" w:rsidRPr="00B27719" w14:paraId="758A12CC" w14:textId="77777777" w:rsidTr="00B640B3">
        <w:trPr>
          <w:trHeight w:val="3393"/>
        </w:trPr>
        <w:tc>
          <w:tcPr>
            <w:tcW w:w="4536" w:type="dxa"/>
          </w:tcPr>
          <w:p w14:paraId="61128D69" w14:textId="77777777" w:rsidR="000F7F2B" w:rsidRPr="00B27719" w:rsidRDefault="00477978">
            <w:pPr>
              <w:spacing w:line="240" w:lineRule="auto"/>
              <w:contextualSpacing w:val="0"/>
              <w:rPr>
                <w:sz w:val="24"/>
                <w:szCs w:val="24"/>
              </w:rPr>
            </w:pPr>
            <w:r w:rsidRPr="00B27719">
              <w:rPr>
                <w:rFonts w:eastAsia="Verdana"/>
                <w:b/>
                <w:sz w:val="24"/>
                <w:szCs w:val="24"/>
              </w:rPr>
              <w:t>Signed by:</w:t>
            </w:r>
          </w:p>
          <w:p w14:paraId="1FC7E863" w14:textId="77777777" w:rsidR="000F7F2B" w:rsidRPr="00B27719" w:rsidRDefault="000F7F2B">
            <w:pPr>
              <w:spacing w:line="240" w:lineRule="auto"/>
              <w:contextualSpacing w:val="0"/>
              <w:rPr>
                <w:sz w:val="24"/>
                <w:szCs w:val="24"/>
              </w:rPr>
            </w:pPr>
          </w:p>
          <w:p w14:paraId="532ADF60" w14:textId="77777777" w:rsidR="000F7F2B" w:rsidRPr="00B27719" w:rsidRDefault="000F7F2B">
            <w:pPr>
              <w:spacing w:line="240" w:lineRule="auto"/>
              <w:contextualSpacing w:val="0"/>
              <w:rPr>
                <w:sz w:val="24"/>
                <w:szCs w:val="24"/>
              </w:rPr>
            </w:pPr>
          </w:p>
          <w:p w14:paraId="2EC855AB" w14:textId="77777777" w:rsidR="000F7F2B" w:rsidRPr="00B27719" w:rsidRDefault="00477978">
            <w:pPr>
              <w:spacing w:line="240" w:lineRule="auto"/>
              <w:contextualSpacing w:val="0"/>
              <w:rPr>
                <w:sz w:val="24"/>
                <w:szCs w:val="24"/>
              </w:rPr>
            </w:pPr>
            <w:r w:rsidRPr="00B27719">
              <w:rPr>
                <w:rFonts w:eastAsia="Verdana"/>
                <w:sz w:val="24"/>
                <w:szCs w:val="24"/>
              </w:rPr>
              <w:t>Name:</w:t>
            </w:r>
          </w:p>
          <w:p w14:paraId="568B5B42" w14:textId="77777777" w:rsidR="000F7F2B" w:rsidRPr="00B27719" w:rsidRDefault="000F7F2B">
            <w:pPr>
              <w:spacing w:line="240" w:lineRule="auto"/>
              <w:contextualSpacing w:val="0"/>
              <w:rPr>
                <w:sz w:val="24"/>
                <w:szCs w:val="24"/>
              </w:rPr>
            </w:pPr>
          </w:p>
          <w:p w14:paraId="3B38E086" w14:textId="77777777" w:rsidR="000F7F2B" w:rsidRPr="00B27719" w:rsidRDefault="00477978">
            <w:pPr>
              <w:spacing w:line="240" w:lineRule="auto"/>
              <w:contextualSpacing w:val="0"/>
              <w:rPr>
                <w:sz w:val="24"/>
                <w:szCs w:val="24"/>
              </w:rPr>
            </w:pPr>
            <w:r w:rsidRPr="00B27719">
              <w:rPr>
                <w:rFonts w:eastAsia="Verdana"/>
                <w:sz w:val="24"/>
                <w:szCs w:val="24"/>
              </w:rPr>
              <w:t>Title:</w:t>
            </w:r>
          </w:p>
          <w:p w14:paraId="100A3D97" w14:textId="77777777" w:rsidR="000F7F2B" w:rsidRPr="00B27719" w:rsidRDefault="000F7F2B">
            <w:pPr>
              <w:spacing w:line="240" w:lineRule="auto"/>
              <w:contextualSpacing w:val="0"/>
              <w:rPr>
                <w:sz w:val="24"/>
                <w:szCs w:val="24"/>
              </w:rPr>
            </w:pPr>
          </w:p>
          <w:p w14:paraId="73E97337" w14:textId="77777777" w:rsidR="000F7F2B" w:rsidRPr="00B27719" w:rsidRDefault="00477978">
            <w:pPr>
              <w:spacing w:line="240" w:lineRule="auto"/>
              <w:contextualSpacing w:val="0"/>
              <w:rPr>
                <w:sz w:val="24"/>
                <w:szCs w:val="24"/>
              </w:rPr>
            </w:pPr>
            <w:r w:rsidRPr="00B27719">
              <w:rPr>
                <w:rFonts w:eastAsia="Verdana"/>
                <w:sz w:val="24"/>
                <w:szCs w:val="24"/>
              </w:rPr>
              <w:t>Date:</w:t>
            </w:r>
          </w:p>
          <w:p w14:paraId="5DF5E902" w14:textId="77777777" w:rsidR="000F7F2B" w:rsidRPr="00B27719" w:rsidRDefault="000F7F2B">
            <w:pPr>
              <w:spacing w:line="240" w:lineRule="auto"/>
              <w:contextualSpacing w:val="0"/>
              <w:rPr>
                <w:sz w:val="24"/>
                <w:szCs w:val="24"/>
              </w:rPr>
            </w:pPr>
          </w:p>
          <w:p w14:paraId="3DF8DE73" w14:textId="77777777" w:rsidR="000F7F2B" w:rsidRPr="00B27719" w:rsidRDefault="00477978">
            <w:pPr>
              <w:spacing w:line="240" w:lineRule="auto"/>
              <w:contextualSpacing w:val="0"/>
              <w:rPr>
                <w:sz w:val="24"/>
                <w:szCs w:val="24"/>
              </w:rPr>
            </w:pPr>
            <w:r w:rsidRPr="00B27719">
              <w:rPr>
                <w:rFonts w:eastAsia="Verdana"/>
                <w:sz w:val="24"/>
                <w:szCs w:val="24"/>
              </w:rPr>
              <w:t>Duly authorised for and on behalf of the Institution</w:t>
            </w:r>
          </w:p>
        </w:tc>
        <w:tc>
          <w:tcPr>
            <w:tcW w:w="4819" w:type="dxa"/>
          </w:tcPr>
          <w:p w14:paraId="6FF5AB2A" w14:textId="77777777" w:rsidR="000F7F2B" w:rsidRPr="00B27719" w:rsidRDefault="00477978">
            <w:pPr>
              <w:spacing w:line="240" w:lineRule="auto"/>
              <w:contextualSpacing w:val="0"/>
              <w:rPr>
                <w:sz w:val="24"/>
                <w:szCs w:val="24"/>
              </w:rPr>
            </w:pPr>
            <w:r w:rsidRPr="00B27719">
              <w:rPr>
                <w:rFonts w:eastAsia="Verdana"/>
                <w:b/>
                <w:sz w:val="24"/>
                <w:szCs w:val="24"/>
              </w:rPr>
              <w:t>Signed by:</w:t>
            </w:r>
          </w:p>
          <w:p w14:paraId="3EB47088" w14:textId="77777777" w:rsidR="000F7F2B" w:rsidRPr="00B27719" w:rsidRDefault="000F7F2B">
            <w:pPr>
              <w:spacing w:line="240" w:lineRule="auto"/>
              <w:contextualSpacing w:val="0"/>
              <w:rPr>
                <w:sz w:val="24"/>
                <w:szCs w:val="24"/>
              </w:rPr>
            </w:pPr>
          </w:p>
          <w:p w14:paraId="2B4DD811" w14:textId="77777777" w:rsidR="000F7F2B" w:rsidRPr="00B27719" w:rsidRDefault="000F7F2B">
            <w:pPr>
              <w:spacing w:line="240" w:lineRule="auto"/>
              <w:contextualSpacing w:val="0"/>
              <w:rPr>
                <w:sz w:val="24"/>
                <w:szCs w:val="24"/>
              </w:rPr>
            </w:pPr>
          </w:p>
          <w:p w14:paraId="6466C2AA" w14:textId="77777777" w:rsidR="000F7F2B" w:rsidRPr="00B27719" w:rsidRDefault="00477978">
            <w:pPr>
              <w:spacing w:line="240" w:lineRule="auto"/>
              <w:contextualSpacing w:val="0"/>
              <w:rPr>
                <w:sz w:val="24"/>
                <w:szCs w:val="24"/>
              </w:rPr>
            </w:pPr>
            <w:r w:rsidRPr="00B27719">
              <w:rPr>
                <w:rFonts w:eastAsia="Verdana"/>
                <w:sz w:val="24"/>
                <w:szCs w:val="24"/>
              </w:rPr>
              <w:t>Name:</w:t>
            </w:r>
          </w:p>
          <w:p w14:paraId="5546E054" w14:textId="77777777" w:rsidR="000F7F2B" w:rsidRPr="00B27719" w:rsidRDefault="000F7F2B">
            <w:pPr>
              <w:spacing w:line="240" w:lineRule="auto"/>
              <w:contextualSpacing w:val="0"/>
              <w:rPr>
                <w:sz w:val="24"/>
                <w:szCs w:val="24"/>
              </w:rPr>
            </w:pPr>
          </w:p>
          <w:p w14:paraId="1B18D7ED" w14:textId="77777777" w:rsidR="000F7F2B" w:rsidRPr="00B27719" w:rsidRDefault="00477978">
            <w:pPr>
              <w:spacing w:line="240" w:lineRule="auto"/>
              <w:contextualSpacing w:val="0"/>
              <w:rPr>
                <w:sz w:val="24"/>
                <w:szCs w:val="24"/>
              </w:rPr>
            </w:pPr>
            <w:r w:rsidRPr="00B27719">
              <w:rPr>
                <w:rFonts w:eastAsia="Verdana"/>
                <w:sz w:val="24"/>
                <w:szCs w:val="24"/>
              </w:rPr>
              <w:t>Title:</w:t>
            </w:r>
          </w:p>
          <w:p w14:paraId="232057AC" w14:textId="77777777" w:rsidR="000F7F2B" w:rsidRPr="00B27719" w:rsidRDefault="000F7F2B">
            <w:pPr>
              <w:spacing w:line="240" w:lineRule="auto"/>
              <w:contextualSpacing w:val="0"/>
              <w:rPr>
                <w:sz w:val="24"/>
                <w:szCs w:val="24"/>
              </w:rPr>
            </w:pPr>
          </w:p>
          <w:p w14:paraId="2AD01A48" w14:textId="77777777" w:rsidR="000F7F2B" w:rsidRPr="00B27719" w:rsidRDefault="00477978">
            <w:pPr>
              <w:spacing w:line="240" w:lineRule="auto"/>
              <w:contextualSpacing w:val="0"/>
              <w:rPr>
                <w:sz w:val="24"/>
                <w:szCs w:val="24"/>
              </w:rPr>
            </w:pPr>
            <w:r w:rsidRPr="00B27719">
              <w:rPr>
                <w:rFonts w:eastAsia="Verdana"/>
                <w:sz w:val="24"/>
                <w:szCs w:val="24"/>
              </w:rPr>
              <w:t>Date:</w:t>
            </w:r>
          </w:p>
          <w:p w14:paraId="0C8D09DC" w14:textId="77777777" w:rsidR="000F7F2B" w:rsidRPr="00B27719" w:rsidRDefault="000F7F2B">
            <w:pPr>
              <w:spacing w:line="240" w:lineRule="auto"/>
              <w:contextualSpacing w:val="0"/>
              <w:rPr>
                <w:sz w:val="24"/>
                <w:szCs w:val="24"/>
              </w:rPr>
            </w:pPr>
          </w:p>
          <w:p w14:paraId="19BFFE43" w14:textId="77777777" w:rsidR="000F7F2B" w:rsidRPr="00B27719" w:rsidRDefault="00477978">
            <w:pPr>
              <w:spacing w:line="240" w:lineRule="auto"/>
              <w:contextualSpacing w:val="0"/>
              <w:rPr>
                <w:sz w:val="24"/>
                <w:szCs w:val="24"/>
              </w:rPr>
            </w:pPr>
            <w:r w:rsidRPr="00B27719">
              <w:rPr>
                <w:rFonts w:eastAsia="Verdana"/>
                <w:sz w:val="24"/>
                <w:szCs w:val="24"/>
              </w:rPr>
              <w:t>Duly authorised for and on behalf of Pearson</w:t>
            </w:r>
          </w:p>
        </w:tc>
      </w:tr>
    </w:tbl>
    <w:p w14:paraId="6F93049C" w14:textId="77777777" w:rsidR="00B640B3" w:rsidRDefault="00B640B3" w:rsidP="006D7ECC">
      <w:pPr>
        <w:rPr>
          <w:rFonts w:ascii="Open Sans" w:hAnsi="Open Sans" w:cs="Open Sans"/>
          <w:b/>
          <w:sz w:val="20"/>
          <w:szCs w:val="20"/>
        </w:rPr>
      </w:pPr>
    </w:p>
    <w:p w14:paraId="32951F08" w14:textId="77777777" w:rsidR="00B640B3" w:rsidRDefault="00B640B3">
      <w:pPr>
        <w:rPr>
          <w:rFonts w:ascii="Open Sans" w:hAnsi="Open Sans" w:cs="Open Sans"/>
          <w:b/>
          <w:sz w:val="20"/>
          <w:szCs w:val="20"/>
        </w:rPr>
      </w:pPr>
      <w:r>
        <w:rPr>
          <w:rFonts w:ascii="Open Sans" w:hAnsi="Open Sans" w:cs="Open Sans"/>
          <w:b/>
          <w:sz w:val="20"/>
          <w:szCs w:val="20"/>
        </w:rPr>
        <w:br w:type="page"/>
      </w:r>
    </w:p>
    <w:p w14:paraId="3010CFA1" w14:textId="3216DFD1" w:rsidR="000F7F2B" w:rsidRPr="00B27719" w:rsidRDefault="002C2F36" w:rsidP="006D7ECC">
      <w:pPr>
        <w:rPr>
          <w:b/>
          <w:color w:val="003057"/>
          <w:sz w:val="36"/>
          <w:szCs w:val="36"/>
        </w:rPr>
      </w:pPr>
      <w:r w:rsidRPr="00B27719">
        <w:rPr>
          <w:b/>
          <w:color w:val="003057"/>
          <w:sz w:val="36"/>
          <w:szCs w:val="36"/>
        </w:rPr>
        <w:lastRenderedPageBreak/>
        <w:t xml:space="preserve">Schedule </w:t>
      </w:r>
      <w:r w:rsidR="006D7ECC" w:rsidRPr="00B27719">
        <w:rPr>
          <w:b/>
          <w:color w:val="003057"/>
          <w:sz w:val="36"/>
          <w:szCs w:val="36"/>
        </w:rPr>
        <w:t>1</w:t>
      </w:r>
    </w:p>
    <w:p w14:paraId="2E7D5D5B" w14:textId="77777777" w:rsidR="000F7F2B" w:rsidRPr="00CC5CBD" w:rsidRDefault="000F7F2B">
      <w:pPr>
        <w:spacing w:line="240" w:lineRule="auto"/>
        <w:rPr>
          <w:rFonts w:ascii="Open Sans" w:hAnsi="Open Sans" w:cs="Open Sans"/>
          <w:sz w:val="20"/>
          <w:szCs w:val="20"/>
        </w:rPr>
      </w:pPr>
    </w:p>
    <w:p w14:paraId="1A733BB6" w14:textId="18323D55" w:rsidR="000F7F2B" w:rsidRPr="00B27719" w:rsidRDefault="00477978">
      <w:pPr>
        <w:spacing w:line="240" w:lineRule="auto"/>
        <w:rPr>
          <w:sz w:val="24"/>
          <w:szCs w:val="24"/>
        </w:rPr>
      </w:pPr>
      <w:r w:rsidRPr="00B27719">
        <w:rPr>
          <w:rFonts w:eastAsia="Verdana"/>
          <w:sz w:val="24"/>
          <w:szCs w:val="24"/>
        </w:rPr>
        <w:t xml:space="preserve">This is to be completed </w:t>
      </w:r>
      <w:r w:rsidR="006D7ECC" w:rsidRPr="00B27719">
        <w:rPr>
          <w:rFonts w:eastAsia="Verdana"/>
          <w:sz w:val="24"/>
          <w:szCs w:val="24"/>
        </w:rPr>
        <w:t xml:space="preserve">and submitted to Pearson for approval </w:t>
      </w:r>
      <w:r w:rsidR="002C2F36" w:rsidRPr="00B27719">
        <w:rPr>
          <w:rFonts w:eastAsia="Verdana"/>
          <w:sz w:val="24"/>
          <w:szCs w:val="24"/>
        </w:rPr>
        <w:t xml:space="preserve">annually </w:t>
      </w:r>
      <w:r w:rsidRPr="00B27719">
        <w:rPr>
          <w:rFonts w:eastAsia="Verdana"/>
          <w:sz w:val="24"/>
          <w:szCs w:val="24"/>
        </w:rPr>
        <w:t xml:space="preserve">for </w:t>
      </w:r>
      <w:r w:rsidRPr="00B27719">
        <w:rPr>
          <w:rFonts w:eastAsia="Verdana"/>
          <w:b/>
          <w:sz w:val="24"/>
          <w:szCs w:val="24"/>
        </w:rPr>
        <w:t>each</w:t>
      </w:r>
      <w:r w:rsidRPr="00B27719">
        <w:rPr>
          <w:rFonts w:eastAsia="Verdana"/>
          <w:sz w:val="24"/>
          <w:szCs w:val="24"/>
        </w:rPr>
        <w:t xml:space="preserve"> Higher National </w:t>
      </w:r>
      <w:r w:rsidR="002C2F36" w:rsidRPr="00B27719">
        <w:rPr>
          <w:rFonts w:eastAsia="Verdana"/>
          <w:sz w:val="24"/>
          <w:szCs w:val="24"/>
        </w:rPr>
        <w:t>Q</w:t>
      </w:r>
      <w:r w:rsidRPr="00B27719">
        <w:rPr>
          <w:rFonts w:eastAsia="Verdana"/>
          <w:sz w:val="24"/>
          <w:szCs w:val="24"/>
        </w:rPr>
        <w:t xml:space="preserve">ualification which Institution intends to deliver </w:t>
      </w:r>
      <w:r w:rsidR="006D7ECC" w:rsidRPr="00B27719">
        <w:rPr>
          <w:rFonts w:eastAsia="Verdana"/>
          <w:sz w:val="24"/>
          <w:szCs w:val="24"/>
        </w:rPr>
        <w:t xml:space="preserve">under the Pearson Qualification Title and using the Pearson </w:t>
      </w:r>
      <w:r w:rsidR="003E6C8E" w:rsidRPr="00B27719">
        <w:rPr>
          <w:rFonts w:eastAsia="Verdana"/>
          <w:sz w:val="24"/>
          <w:szCs w:val="24"/>
        </w:rPr>
        <w:t>IP</w:t>
      </w:r>
      <w:r w:rsidR="006D7ECC" w:rsidRPr="00B27719">
        <w:rPr>
          <w:rFonts w:eastAsia="Verdana"/>
          <w:sz w:val="24"/>
          <w:szCs w:val="24"/>
        </w:rPr>
        <w:t xml:space="preserve"> </w:t>
      </w:r>
      <w:r w:rsidRPr="00B27719">
        <w:rPr>
          <w:rFonts w:eastAsia="Verdana"/>
          <w:sz w:val="24"/>
          <w:szCs w:val="24"/>
        </w:rPr>
        <w:t xml:space="preserve">under </w:t>
      </w:r>
      <w:r w:rsidR="002C2F36" w:rsidRPr="00B27719">
        <w:rPr>
          <w:rFonts w:eastAsia="Verdana"/>
          <w:sz w:val="24"/>
          <w:szCs w:val="24"/>
        </w:rPr>
        <w:t>th</w:t>
      </w:r>
      <w:r w:rsidR="006D7ECC" w:rsidRPr="00B27719">
        <w:rPr>
          <w:rFonts w:eastAsia="Verdana"/>
          <w:sz w:val="24"/>
          <w:szCs w:val="24"/>
        </w:rPr>
        <w:t xml:space="preserve">e </w:t>
      </w:r>
      <w:r w:rsidR="003E6C8E" w:rsidRPr="00B27719">
        <w:rPr>
          <w:rFonts w:eastAsia="Verdana"/>
          <w:sz w:val="24"/>
          <w:szCs w:val="24"/>
        </w:rPr>
        <w:t>IP</w:t>
      </w:r>
      <w:r w:rsidR="006D7ECC" w:rsidRPr="00B27719">
        <w:rPr>
          <w:rFonts w:eastAsia="Verdana"/>
          <w:sz w:val="24"/>
          <w:szCs w:val="24"/>
        </w:rPr>
        <w:t xml:space="preserve"> Licence</w:t>
      </w:r>
      <w:r w:rsidR="002C2F36" w:rsidRPr="00B27719">
        <w:rPr>
          <w:rFonts w:eastAsia="Verdana"/>
          <w:sz w:val="24"/>
          <w:szCs w:val="24"/>
        </w:rPr>
        <w:t xml:space="preserve"> Agreement</w:t>
      </w:r>
      <w:r w:rsidRPr="00B27719">
        <w:rPr>
          <w:rFonts w:eastAsia="Verdana"/>
          <w:sz w:val="24"/>
          <w:szCs w:val="24"/>
        </w:rPr>
        <w:t>.</w:t>
      </w:r>
    </w:p>
    <w:p w14:paraId="51C66BD0" w14:textId="77777777" w:rsidR="000F7F2B" w:rsidRPr="00CC5CBD" w:rsidRDefault="000F7F2B">
      <w:pPr>
        <w:spacing w:line="240" w:lineRule="auto"/>
        <w:rPr>
          <w:rFonts w:ascii="Open Sans" w:hAnsi="Open Sans" w:cs="Open Sans"/>
          <w:sz w:val="20"/>
          <w:szCs w:val="20"/>
        </w:rPr>
      </w:pPr>
    </w:p>
    <w:p w14:paraId="4422FB54" w14:textId="77777777" w:rsidR="000F7F2B" w:rsidRPr="00CC5CBD" w:rsidRDefault="000F7F2B">
      <w:pPr>
        <w:spacing w:line="240" w:lineRule="auto"/>
        <w:rPr>
          <w:rFonts w:ascii="Open Sans" w:hAnsi="Open Sans" w:cs="Open Sans"/>
          <w:sz w:val="20"/>
          <w:szCs w:val="20"/>
        </w:rPr>
      </w:pPr>
    </w:p>
    <w:p w14:paraId="0D10AD85" w14:textId="77777777" w:rsidR="000F7F2B" w:rsidRPr="00CC5CBD" w:rsidRDefault="000F7F2B">
      <w:pPr>
        <w:spacing w:line="240" w:lineRule="auto"/>
        <w:rPr>
          <w:rFonts w:ascii="Open Sans" w:hAnsi="Open Sans" w:cs="Open Sans"/>
          <w:sz w:val="20"/>
          <w:szCs w:val="20"/>
        </w:rPr>
      </w:pPr>
    </w:p>
    <w:tbl>
      <w:tblPr>
        <w:tblStyle w:val="a1"/>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5"/>
        <w:gridCol w:w="5775"/>
      </w:tblGrid>
      <w:tr w:rsidR="000F7F2B" w:rsidRPr="00B27719" w14:paraId="1F57A6B4" w14:textId="77777777">
        <w:tc>
          <w:tcPr>
            <w:tcW w:w="3255" w:type="dxa"/>
            <w:tcMar>
              <w:top w:w="100" w:type="dxa"/>
              <w:left w:w="100" w:type="dxa"/>
              <w:bottom w:w="100" w:type="dxa"/>
              <w:right w:w="100" w:type="dxa"/>
            </w:tcMar>
          </w:tcPr>
          <w:p w14:paraId="53DD7F49" w14:textId="77777777" w:rsidR="000F7F2B" w:rsidRPr="00B27719" w:rsidRDefault="00477978">
            <w:pPr>
              <w:spacing w:line="240" w:lineRule="auto"/>
              <w:contextualSpacing w:val="0"/>
              <w:rPr>
                <w:sz w:val="24"/>
                <w:szCs w:val="24"/>
              </w:rPr>
            </w:pPr>
            <w:r w:rsidRPr="00B27719">
              <w:rPr>
                <w:rFonts w:eastAsia="Verdana"/>
                <w:b/>
                <w:sz w:val="24"/>
                <w:szCs w:val="24"/>
              </w:rPr>
              <w:t>Name of Institution</w:t>
            </w:r>
          </w:p>
        </w:tc>
        <w:tc>
          <w:tcPr>
            <w:tcW w:w="5775" w:type="dxa"/>
            <w:tcMar>
              <w:top w:w="100" w:type="dxa"/>
              <w:left w:w="100" w:type="dxa"/>
              <w:bottom w:w="100" w:type="dxa"/>
              <w:right w:w="100" w:type="dxa"/>
            </w:tcMar>
          </w:tcPr>
          <w:p w14:paraId="736907A8" w14:textId="77777777" w:rsidR="000F7F2B" w:rsidRPr="00B27719" w:rsidRDefault="000F7F2B">
            <w:pPr>
              <w:widowControl w:val="0"/>
              <w:spacing w:line="240" w:lineRule="auto"/>
              <w:contextualSpacing w:val="0"/>
              <w:rPr>
                <w:sz w:val="24"/>
                <w:szCs w:val="24"/>
              </w:rPr>
            </w:pPr>
          </w:p>
        </w:tc>
      </w:tr>
      <w:tr w:rsidR="000F7F2B" w:rsidRPr="00B27719" w14:paraId="0ECBCF38" w14:textId="77777777">
        <w:tc>
          <w:tcPr>
            <w:tcW w:w="3255" w:type="dxa"/>
            <w:tcMar>
              <w:top w:w="100" w:type="dxa"/>
              <w:left w:w="100" w:type="dxa"/>
              <w:bottom w:w="100" w:type="dxa"/>
              <w:right w:w="100" w:type="dxa"/>
            </w:tcMar>
          </w:tcPr>
          <w:p w14:paraId="00A305CF" w14:textId="1FFE8A5C" w:rsidR="000F7F2B" w:rsidRPr="00B27719" w:rsidRDefault="00477978" w:rsidP="006D7ECC">
            <w:pPr>
              <w:spacing w:line="240" w:lineRule="auto"/>
              <w:contextualSpacing w:val="0"/>
              <w:rPr>
                <w:sz w:val="24"/>
                <w:szCs w:val="24"/>
              </w:rPr>
            </w:pPr>
            <w:r w:rsidRPr="00B27719">
              <w:rPr>
                <w:rFonts w:eastAsia="Verdana"/>
                <w:b/>
                <w:sz w:val="24"/>
                <w:szCs w:val="24"/>
              </w:rPr>
              <w:t xml:space="preserve">Title of </w:t>
            </w:r>
            <w:r w:rsidR="006D7ECC" w:rsidRPr="00B27719">
              <w:rPr>
                <w:rFonts w:eastAsia="Verdana"/>
                <w:b/>
                <w:sz w:val="24"/>
                <w:szCs w:val="24"/>
              </w:rPr>
              <w:t xml:space="preserve">Pearson </w:t>
            </w:r>
            <w:r w:rsidR="00B27719" w:rsidRPr="00B27719">
              <w:rPr>
                <w:rFonts w:eastAsia="Verdana"/>
                <w:b/>
                <w:sz w:val="24"/>
                <w:szCs w:val="24"/>
              </w:rPr>
              <w:t>Qualification</w:t>
            </w:r>
          </w:p>
        </w:tc>
        <w:tc>
          <w:tcPr>
            <w:tcW w:w="5775" w:type="dxa"/>
            <w:tcMar>
              <w:top w:w="100" w:type="dxa"/>
              <w:left w:w="100" w:type="dxa"/>
              <w:bottom w:w="100" w:type="dxa"/>
              <w:right w:w="100" w:type="dxa"/>
            </w:tcMar>
          </w:tcPr>
          <w:p w14:paraId="09229571" w14:textId="77777777" w:rsidR="000F7F2B" w:rsidRPr="00B27719" w:rsidRDefault="000F7F2B">
            <w:pPr>
              <w:widowControl w:val="0"/>
              <w:spacing w:line="240" w:lineRule="auto"/>
              <w:contextualSpacing w:val="0"/>
              <w:rPr>
                <w:sz w:val="24"/>
                <w:szCs w:val="24"/>
              </w:rPr>
            </w:pPr>
          </w:p>
        </w:tc>
      </w:tr>
      <w:tr w:rsidR="000F7F2B" w:rsidRPr="00B27719" w14:paraId="6EE7E31F" w14:textId="77777777">
        <w:tc>
          <w:tcPr>
            <w:tcW w:w="3255" w:type="dxa"/>
            <w:tcMar>
              <w:top w:w="100" w:type="dxa"/>
              <w:left w:w="100" w:type="dxa"/>
              <w:bottom w:w="100" w:type="dxa"/>
              <w:right w:w="100" w:type="dxa"/>
            </w:tcMar>
          </w:tcPr>
          <w:p w14:paraId="3BD95B0B" w14:textId="77777777" w:rsidR="000F7F2B" w:rsidRPr="00B27719" w:rsidRDefault="00477978">
            <w:pPr>
              <w:spacing w:line="240" w:lineRule="auto"/>
              <w:contextualSpacing w:val="0"/>
              <w:rPr>
                <w:sz w:val="24"/>
                <w:szCs w:val="24"/>
              </w:rPr>
            </w:pPr>
            <w:r w:rsidRPr="00B27719">
              <w:rPr>
                <w:rFonts w:eastAsia="Verdana"/>
                <w:b/>
                <w:sz w:val="24"/>
                <w:szCs w:val="24"/>
              </w:rPr>
              <w:t>Address of delivery centre</w:t>
            </w:r>
          </w:p>
        </w:tc>
        <w:tc>
          <w:tcPr>
            <w:tcW w:w="5775" w:type="dxa"/>
            <w:tcMar>
              <w:top w:w="100" w:type="dxa"/>
              <w:left w:w="100" w:type="dxa"/>
              <w:bottom w:w="100" w:type="dxa"/>
              <w:right w:w="100" w:type="dxa"/>
            </w:tcMar>
          </w:tcPr>
          <w:p w14:paraId="1C867FF7" w14:textId="77777777" w:rsidR="000F7F2B" w:rsidRPr="00B27719" w:rsidRDefault="000F7F2B">
            <w:pPr>
              <w:widowControl w:val="0"/>
              <w:spacing w:line="240" w:lineRule="auto"/>
              <w:contextualSpacing w:val="0"/>
              <w:rPr>
                <w:sz w:val="24"/>
                <w:szCs w:val="24"/>
              </w:rPr>
            </w:pPr>
          </w:p>
        </w:tc>
      </w:tr>
      <w:tr w:rsidR="000F7F2B" w:rsidRPr="00B27719" w14:paraId="01590EA4" w14:textId="77777777">
        <w:tc>
          <w:tcPr>
            <w:tcW w:w="3255" w:type="dxa"/>
            <w:tcMar>
              <w:top w:w="100" w:type="dxa"/>
              <w:left w:w="100" w:type="dxa"/>
              <w:bottom w:w="100" w:type="dxa"/>
              <w:right w:w="100" w:type="dxa"/>
            </w:tcMar>
          </w:tcPr>
          <w:p w14:paraId="51010589" w14:textId="77777777" w:rsidR="000F7F2B" w:rsidRPr="00B27719" w:rsidRDefault="00477978">
            <w:pPr>
              <w:spacing w:line="240" w:lineRule="auto"/>
              <w:contextualSpacing w:val="0"/>
              <w:rPr>
                <w:sz w:val="24"/>
                <w:szCs w:val="24"/>
              </w:rPr>
            </w:pPr>
            <w:r w:rsidRPr="00B27719">
              <w:rPr>
                <w:rFonts w:eastAsia="Verdana"/>
                <w:b/>
                <w:sz w:val="24"/>
                <w:szCs w:val="24"/>
              </w:rPr>
              <w:t>Proposed student registration numbers 2016/17</w:t>
            </w:r>
          </w:p>
        </w:tc>
        <w:tc>
          <w:tcPr>
            <w:tcW w:w="5775" w:type="dxa"/>
            <w:tcMar>
              <w:top w:w="100" w:type="dxa"/>
              <w:left w:w="100" w:type="dxa"/>
              <w:bottom w:w="100" w:type="dxa"/>
              <w:right w:w="100" w:type="dxa"/>
            </w:tcMar>
          </w:tcPr>
          <w:p w14:paraId="2F3E3A8D" w14:textId="77777777" w:rsidR="000F7F2B" w:rsidRPr="00B27719" w:rsidRDefault="000F7F2B">
            <w:pPr>
              <w:widowControl w:val="0"/>
              <w:spacing w:line="240" w:lineRule="auto"/>
              <w:contextualSpacing w:val="0"/>
              <w:rPr>
                <w:sz w:val="24"/>
                <w:szCs w:val="24"/>
              </w:rPr>
            </w:pPr>
          </w:p>
        </w:tc>
      </w:tr>
      <w:tr w:rsidR="000F7F2B" w:rsidRPr="00B27719" w14:paraId="38919CA3" w14:textId="77777777">
        <w:tc>
          <w:tcPr>
            <w:tcW w:w="3255" w:type="dxa"/>
            <w:tcMar>
              <w:top w:w="100" w:type="dxa"/>
              <w:left w:w="100" w:type="dxa"/>
              <w:bottom w:w="100" w:type="dxa"/>
              <w:right w:w="100" w:type="dxa"/>
            </w:tcMar>
          </w:tcPr>
          <w:p w14:paraId="50934DC5" w14:textId="77777777" w:rsidR="000F7F2B" w:rsidRPr="00B27719" w:rsidRDefault="00477978">
            <w:pPr>
              <w:spacing w:line="240" w:lineRule="auto"/>
              <w:contextualSpacing w:val="0"/>
              <w:rPr>
                <w:sz w:val="24"/>
                <w:szCs w:val="24"/>
              </w:rPr>
            </w:pPr>
            <w:r w:rsidRPr="00B27719">
              <w:rPr>
                <w:rFonts w:eastAsia="Verdana"/>
                <w:b/>
                <w:sz w:val="24"/>
                <w:szCs w:val="24"/>
              </w:rPr>
              <w:t>Mode of delivery</w:t>
            </w:r>
          </w:p>
        </w:tc>
        <w:tc>
          <w:tcPr>
            <w:tcW w:w="5775" w:type="dxa"/>
            <w:tcMar>
              <w:top w:w="100" w:type="dxa"/>
              <w:left w:w="100" w:type="dxa"/>
              <w:bottom w:w="100" w:type="dxa"/>
              <w:right w:w="100" w:type="dxa"/>
            </w:tcMar>
          </w:tcPr>
          <w:p w14:paraId="3E1B4E24" w14:textId="77777777" w:rsidR="000F7F2B" w:rsidRPr="00B27719" w:rsidRDefault="000F7F2B">
            <w:pPr>
              <w:widowControl w:val="0"/>
              <w:spacing w:line="240" w:lineRule="auto"/>
              <w:contextualSpacing w:val="0"/>
              <w:rPr>
                <w:sz w:val="24"/>
                <w:szCs w:val="24"/>
              </w:rPr>
            </w:pPr>
          </w:p>
        </w:tc>
      </w:tr>
      <w:tr w:rsidR="000F7F2B" w:rsidRPr="00B27719" w14:paraId="42C20113" w14:textId="77777777">
        <w:tc>
          <w:tcPr>
            <w:tcW w:w="3255" w:type="dxa"/>
            <w:tcMar>
              <w:top w:w="100" w:type="dxa"/>
              <w:left w:w="100" w:type="dxa"/>
              <w:bottom w:w="100" w:type="dxa"/>
              <w:right w:w="100" w:type="dxa"/>
            </w:tcMar>
          </w:tcPr>
          <w:p w14:paraId="4532DFB9" w14:textId="77777777" w:rsidR="000F7F2B" w:rsidRPr="00B27719" w:rsidRDefault="00477978">
            <w:pPr>
              <w:spacing w:line="240" w:lineRule="auto"/>
              <w:contextualSpacing w:val="0"/>
              <w:rPr>
                <w:sz w:val="24"/>
                <w:szCs w:val="24"/>
              </w:rPr>
            </w:pPr>
            <w:r w:rsidRPr="00B27719">
              <w:rPr>
                <w:rFonts w:eastAsia="Verdana"/>
                <w:b/>
                <w:sz w:val="24"/>
                <w:szCs w:val="24"/>
              </w:rPr>
              <w:t>Proposed start date</w:t>
            </w:r>
          </w:p>
        </w:tc>
        <w:tc>
          <w:tcPr>
            <w:tcW w:w="5775" w:type="dxa"/>
            <w:tcMar>
              <w:top w:w="100" w:type="dxa"/>
              <w:left w:w="100" w:type="dxa"/>
              <w:bottom w:w="100" w:type="dxa"/>
              <w:right w:w="100" w:type="dxa"/>
            </w:tcMar>
          </w:tcPr>
          <w:p w14:paraId="4BBD9320" w14:textId="77777777" w:rsidR="000F7F2B" w:rsidRPr="00B27719" w:rsidRDefault="000F7F2B">
            <w:pPr>
              <w:widowControl w:val="0"/>
              <w:spacing w:line="240" w:lineRule="auto"/>
              <w:contextualSpacing w:val="0"/>
              <w:rPr>
                <w:sz w:val="24"/>
                <w:szCs w:val="24"/>
              </w:rPr>
            </w:pPr>
          </w:p>
        </w:tc>
      </w:tr>
      <w:tr w:rsidR="000F7F2B" w:rsidRPr="00B27719" w14:paraId="2279D31B" w14:textId="77777777">
        <w:tc>
          <w:tcPr>
            <w:tcW w:w="3255" w:type="dxa"/>
            <w:tcMar>
              <w:top w:w="100" w:type="dxa"/>
              <w:left w:w="100" w:type="dxa"/>
              <w:bottom w:w="100" w:type="dxa"/>
              <w:right w:w="100" w:type="dxa"/>
            </w:tcMar>
          </w:tcPr>
          <w:p w14:paraId="27B01690" w14:textId="77777777" w:rsidR="000F7F2B" w:rsidRPr="00B27719" w:rsidRDefault="00477978">
            <w:pPr>
              <w:spacing w:line="240" w:lineRule="auto"/>
              <w:contextualSpacing w:val="0"/>
              <w:rPr>
                <w:sz w:val="24"/>
                <w:szCs w:val="24"/>
              </w:rPr>
            </w:pPr>
            <w:r w:rsidRPr="00B27719">
              <w:rPr>
                <w:rFonts w:eastAsia="Verdana"/>
                <w:b/>
                <w:sz w:val="24"/>
                <w:szCs w:val="24"/>
              </w:rPr>
              <w:t>Programme duration</w:t>
            </w:r>
          </w:p>
        </w:tc>
        <w:tc>
          <w:tcPr>
            <w:tcW w:w="5775" w:type="dxa"/>
            <w:tcMar>
              <w:top w:w="100" w:type="dxa"/>
              <w:left w:w="100" w:type="dxa"/>
              <w:bottom w:w="100" w:type="dxa"/>
              <w:right w:w="100" w:type="dxa"/>
            </w:tcMar>
          </w:tcPr>
          <w:p w14:paraId="295E51EE" w14:textId="77777777" w:rsidR="000F7F2B" w:rsidRPr="00B27719" w:rsidRDefault="000F7F2B">
            <w:pPr>
              <w:widowControl w:val="0"/>
              <w:spacing w:line="240" w:lineRule="auto"/>
              <w:contextualSpacing w:val="0"/>
              <w:rPr>
                <w:sz w:val="24"/>
                <w:szCs w:val="24"/>
              </w:rPr>
            </w:pPr>
          </w:p>
        </w:tc>
      </w:tr>
    </w:tbl>
    <w:p w14:paraId="36A47CC4" w14:textId="77777777" w:rsidR="000F7F2B" w:rsidRPr="00B27719" w:rsidRDefault="000F7F2B">
      <w:pPr>
        <w:spacing w:line="240" w:lineRule="auto"/>
        <w:rPr>
          <w:sz w:val="24"/>
          <w:szCs w:val="24"/>
        </w:rPr>
      </w:pPr>
    </w:p>
    <w:p w14:paraId="5F532964" w14:textId="77777777" w:rsidR="000F7F2B" w:rsidRPr="00B27719" w:rsidRDefault="000F7F2B">
      <w:pPr>
        <w:spacing w:line="240" w:lineRule="auto"/>
        <w:rPr>
          <w:sz w:val="24"/>
          <w:szCs w:val="24"/>
        </w:rPr>
      </w:pPr>
    </w:p>
    <w:p w14:paraId="1467D864" w14:textId="77777777" w:rsidR="000F7F2B" w:rsidRPr="00B27719" w:rsidRDefault="00477978">
      <w:pPr>
        <w:spacing w:line="240" w:lineRule="auto"/>
        <w:rPr>
          <w:sz w:val="24"/>
          <w:szCs w:val="24"/>
        </w:rPr>
      </w:pPr>
      <w:r w:rsidRPr="00B27719">
        <w:rPr>
          <w:sz w:val="24"/>
          <w:szCs w:val="24"/>
        </w:rPr>
        <w:tab/>
      </w:r>
      <w:r w:rsidRPr="00B27719">
        <w:rPr>
          <w:sz w:val="24"/>
          <w:szCs w:val="24"/>
        </w:rPr>
        <w:tab/>
      </w:r>
    </w:p>
    <w:p w14:paraId="6EE53FDA" w14:textId="77777777" w:rsidR="000F7F2B" w:rsidRPr="00CC5CBD" w:rsidRDefault="00477978">
      <w:pPr>
        <w:rPr>
          <w:rFonts w:ascii="Open Sans" w:hAnsi="Open Sans" w:cs="Open Sans"/>
          <w:sz w:val="20"/>
          <w:szCs w:val="20"/>
        </w:rPr>
      </w:pPr>
      <w:r w:rsidRPr="00CC5CBD">
        <w:rPr>
          <w:rFonts w:ascii="Open Sans" w:hAnsi="Open Sans" w:cs="Open Sans"/>
          <w:sz w:val="20"/>
          <w:szCs w:val="20"/>
        </w:rPr>
        <w:br w:type="page"/>
      </w:r>
    </w:p>
    <w:p w14:paraId="213D63A9" w14:textId="5BD5F81A" w:rsidR="000F7F2B" w:rsidRPr="00B27719" w:rsidRDefault="00477978">
      <w:pPr>
        <w:spacing w:line="240" w:lineRule="auto"/>
        <w:rPr>
          <w:color w:val="003057"/>
          <w:sz w:val="36"/>
          <w:szCs w:val="36"/>
        </w:rPr>
      </w:pPr>
      <w:r w:rsidRPr="00B27719">
        <w:rPr>
          <w:rFonts w:eastAsia="Verdana"/>
          <w:b/>
          <w:color w:val="003057"/>
          <w:sz w:val="36"/>
          <w:szCs w:val="36"/>
        </w:rPr>
        <w:lastRenderedPageBreak/>
        <w:t xml:space="preserve">Schedule </w:t>
      </w:r>
      <w:r w:rsidR="006D7ECC" w:rsidRPr="00B27719">
        <w:rPr>
          <w:rFonts w:eastAsia="Verdana"/>
          <w:b/>
          <w:color w:val="003057"/>
          <w:sz w:val="36"/>
          <w:szCs w:val="36"/>
        </w:rPr>
        <w:t>2</w:t>
      </w:r>
    </w:p>
    <w:p w14:paraId="4B250716" w14:textId="77777777" w:rsidR="000F7F2B" w:rsidRPr="00B27719" w:rsidRDefault="000F7F2B">
      <w:pPr>
        <w:spacing w:line="240" w:lineRule="auto"/>
        <w:rPr>
          <w:sz w:val="24"/>
          <w:szCs w:val="24"/>
        </w:rPr>
      </w:pPr>
    </w:p>
    <w:p w14:paraId="668DB5C6" w14:textId="3A9BF2C9" w:rsidR="000F7F2B" w:rsidRPr="00B27719" w:rsidRDefault="00477978">
      <w:pPr>
        <w:spacing w:line="240" w:lineRule="auto"/>
        <w:rPr>
          <w:sz w:val="24"/>
          <w:szCs w:val="24"/>
        </w:rPr>
      </w:pPr>
      <w:r w:rsidRPr="00B27719">
        <w:rPr>
          <w:rFonts w:eastAsia="Verdana"/>
          <w:sz w:val="24"/>
          <w:szCs w:val="24"/>
        </w:rPr>
        <w:t xml:space="preserve">This is to be completed </w:t>
      </w:r>
      <w:r w:rsidR="006D7ECC" w:rsidRPr="00B27719">
        <w:rPr>
          <w:rFonts w:eastAsia="Verdana"/>
          <w:sz w:val="24"/>
          <w:szCs w:val="24"/>
        </w:rPr>
        <w:t xml:space="preserve">and submitted to Pearson for approval </w:t>
      </w:r>
      <w:r w:rsidR="002C2F36" w:rsidRPr="00B27719">
        <w:rPr>
          <w:rFonts w:eastAsia="Verdana"/>
          <w:sz w:val="24"/>
          <w:szCs w:val="24"/>
        </w:rPr>
        <w:t xml:space="preserve">annually </w:t>
      </w:r>
      <w:r w:rsidRPr="00B27719">
        <w:rPr>
          <w:rFonts w:eastAsia="Verdana"/>
          <w:sz w:val="24"/>
          <w:szCs w:val="24"/>
        </w:rPr>
        <w:t xml:space="preserve">for </w:t>
      </w:r>
      <w:r w:rsidRPr="00B27719">
        <w:rPr>
          <w:rFonts w:eastAsia="Verdana"/>
          <w:b/>
          <w:sz w:val="24"/>
          <w:szCs w:val="24"/>
        </w:rPr>
        <w:t>each</w:t>
      </w:r>
      <w:r w:rsidRPr="00B27719">
        <w:rPr>
          <w:rFonts w:eastAsia="Verdana"/>
          <w:sz w:val="24"/>
          <w:szCs w:val="24"/>
        </w:rPr>
        <w:t xml:space="preserve"> Higher National </w:t>
      </w:r>
      <w:r w:rsidR="002C2F36" w:rsidRPr="00B27719">
        <w:rPr>
          <w:rFonts w:eastAsia="Verdana"/>
          <w:sz w:val="24"/>
          <w:szCs w:val="24"/>
        </w:rPr>
        <w:t>Q</w:t>
      </w:r>
      <w:r w:rsidRPr="00B27719">
        <w:rPr>
          <w:rFonts w:eastAsia="Verdana"/>
          <w:sz w:val="24"/>
          <w:szCs w:val="24"/>
        </w:rPr>
        <w:t>ualification which Institution intends to deliver</w:t>
      </w:r>
      <w:r w:rsidR="006D7ECC" w:rsidRPr="00B27719">
        <w:rPr>
          <w:rFonts w:eastAsia="Verdana"/>
          <w:sz w:val="24"/>
          <w:szCs w:val="24"/>
        </w:rPr>
        <w:t xml:space="preserve"> under the Pearson Qualification Title and using the Pearson </w:t>
      </w:r>
      <w:r w:rsidR="003E6C8E" w:rsidRPr="00B27719">
        <w:rPr>
          <w:rFonts w:eastAsia="Verdana"/>
          <w:sz w:val="24"/>
          <w:szCs w:val="24"/>
        </w:rPr>
        <w:t>IP</w:t>
      </w:r>
      <w:r w:rsidRPr="00B27719">
        <w:rPr>
          <w:rFonts w:eastAsia="Verdana"/>
          <w:sz w:val="24"/>
          <w:szCs w:val="24"/>
        </w:rPr>
        <w:t xml:space="preserve"> to </w:t>
      </w:r>
      <w:r w:rsidRPr="00B27719">
        <w:rPr>
          <w:rFonts w:eastAsia="Verdana"/>
          <w:b/>
          <w:sz w:val="24"/>
          <w:szCs w:val="24"/>
        </w:rPr>
        <w:t>collaborative partner</w:t>
      </w:r>
      <w:r w:rsidRPr="00B27719">
        <w:rPr>
          <w:rFonts w:eastAsia="Verdana"/>
          <w:sz w:val="24"/>
          <w:szCs w:val="24"/>
        </w:rPr>
        <w:t xml:space="preserve"> institutions in the UK and overseas</w:t>
      </w:r>
      <w:r w:rsidR="006D7ECC" w:rsidRPr="00B27719">
        <w:rPr>
          <w:rFonts w:eastAsia="Verdana"/>
          <w:sz w:val="24"/>
          <w:szCs w:val="24"/>
        </w:rPr>
        <w:t xml:space="preserve"> under the </w:t>
      </w:r>
      <w:r w:rsidR="003E6C8E" w:rsidRPr="00B27719">
        <w:rPr>
          <w:rFonts w:eastAsia="Verdana"/>
          <w:sz w:val="24"/>
          <w:szCs w:val="24"/>
        </w:rPr>
        <w:t>IP</w:t>
      </w:r>
      <w:r w:rsidR="006D7ECC" w:rsidRPr="00B27719">
        <w:rPr>
          <w:rFonts w:eastAsia="Verdana"/>
          <w:sz w:val="24"/>
          <w:szCs w:val="24"/>
        </w:rPr>
        <w:t xml:space="preserve"> Licence Agreement</w:t>
      </w:r>
      <w:r w:rsidRPr="00B27719">
        <w:rPr>
          <w:rFonts w:eastAsia="Verdana"/>
          <w:sz w:val="24"/>
          <w:szCs w:val="24"/>
        </w:rPr>
        <w:t>.</w:t>
      </w:r>
    </w:p>
    <w:p w14:paraId="65836483" w14:textId="77777777" w:rsidR="000F7F2B" w:rsidRPr="00B27719" w:rsidRDefault="000F7F2B">
      <w:pPr>
        <w:spacing w:line="240" w:lineRule="auto"/>
        <w:rPr>
          <w:sz w:val="24"/>
          <w:szCs w:val="24"/>
        </w:rPr>
      </w:pPr>
    </w:p>
    <w:tbl>
      <w:tblPr>
        <w:tblStyle w:val="a2"/>
        <w:tblW w:w="903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30"/>
        <w:gridCol w:w="5400"/>
      </w:tblGrid>
      <w:tr w:rsidR="000F7F2B" w:rsidRPr="00B27719" w14:paraId="0EBEE619" w14:textId="77777777">
        <w:tc>
          <w:tcPr>
            <w:tcW w:w="3630" w:type="dxa"/>
            <w:tcMar>
              <w:top w:w="100" w:type="dxa"/>
              <w:left w:w="100" w:type="dxa"/>
              <w:bottom w:w="100" w:type="dxa"/>
              <w:right w:w="100" w:type="dxa"/>
            </w:tcMar>
          </w:tcPr>
          <w:p w14:paraId="7CB3F1E4" w14:textId="77777777" w:rsidR="000F7F2B" w:rsidRPr="00B27719" w:rsidRDefault="00477978">
            <w:pPr>
              <w:spacing w:line="240" w:lineRule="auto"/>
              <w:contextualSpacing w:val="0"/>
              <w:rPr>
                <w:sz w:val="24"/>
                <w:szCs w:val="24"/>
              </w:rPr>
            </w:pPr>
            <w:r w:rsidRPr="00B27719">
              <w:rPr>
                <w:rFonts w:eastAsia="Verdana"/>
                <w:b/>
                <w:sz w:val="24"/>
                <w:szCs w:val="24"/>
              </w:rPr>
              <w:t>Name of Institution</w:t>
            </w:r>
          </w:p>
        </w:tc>
        <w:tc>
          <w:tcPr>
            <w:tcW w:w="5400" w:type="dxa"/>
            <w:tcMar>
              <w:top w:w="100" w:type="dxa"/>
              <w:left w:w="100" w:type="dxa"/>
              <w:bottom w:w="100" w:type="dxa"/>
              <w:right w:w="100" w:type="dxa"/>
            </w:tcMar>
          </w:tcPr>
          <w:p w14:paraId="1E53C525" w14:textId="77777777" w:rsidR="000F7F2B" w:rsidRPr="00B27719" w:rsidRDefault="000F7F2B">
            <w:pPr>
              <w:widowControl w:val="0"/>
              <w:spacing w:line="240" w:lineRule="auto"/>
              <w:contextualSpacing w:val="0"/>
              <w:rPr>
                <w:sz w:val="24"/>
                <w:szCs w:val="24"/>
              </w:rPr>
            </w:pPr>
          </w:p>
        </w:tc>
      </w:tr>
      <w:tr w:rsidR="000F7F2B" w:rsidRPr="00B27719" w14:paraId="65449F35" w14:textId="77777777">
        <w:tc>
          <w:tcPr>
            <w:tcW w:w="3630" w:type="dxa"/>
            <w:tcMar>
              <w:top w:w="100" w:type="dxa"/>
              <w:left w:w="100" w:type="dxa"/>
              <w:bottom w:w="100" w:type="dxa"/>
              <w:right w:w="100" w:type="dxa"/>
            </w:tcMar>
          </w:tcPr>
          <w:p w14:paraId="4C8E15C3" w14:textId="77777777" w:rsidR="000F7F2B" w:rsidRPr="00B27719" w:rsidRDefault="00477978">
            <w:pPr>
              <w:spacing w:line="240" w:lineRule="auto"/>
              <w:contextualSpacing w:val="0"/>
              <w:rPr>
                <w:sz w:val="24"/>
                <w:szCs w:val="24"/>
              </w:rPr>
            </w:pPr>
            <w:r w:rsidRPr="00B27719">
              <w:rPr>
                <w:rFonts w:eastAsia="Verdana"/>
                <w:b/>
                <w:sz w:val="24"/>
                <w:szCs w:val="24"/>
              </w:rPr>
              <w:t>Name of collaborative delivery partner</w:t>
            </w:r>
          </w:p>
        </w:tc>
        <w:tc>
          <w:tcPr>
            <w:tcW w:w="5400" w:type="dxa"/>
            <w:tcMar>
              <w:top w:w="100" w:type="dxa"/>
              <w:left w:w="100" w:type="dxa"/>
              <w:bottom w:w="100" w:type="dxa"/>
              <w:right w:w="100" w:type="dxa"/>
            </w:tcMar>
          </w:tcPr>
          <w:p w14:paraId="01E5BB07" w14:textId="77777777" w:rsidR="000F7F2B" w:rsidRPr="00B27719" w:rsidRDefault="000F7F2B">
            <w:pPr>
              <w:widowControl w:val="0"/>
              <w:spacing w:line="240" w:lineRule="auto"/>
              <w:contextualSpacing w:val="0"/>
              <w:rPr>
                <w:sz w:val="24"/>
                <w:szCs w:val="24"/>
              </w:rPr>
            </w:pPr>
          </w:p>
        </w:tc>
      </w:tr>
      <w:tr w:rsidR="000F7F2B" w:rsidRPr="00B27719" w14:paraId="41EBEC36" w14:textId="77777777">
        <w:tc>
          <w:tcPr>
            <w:tcW w:w="3630" w:type="dxa"/>
            <w:tcMar>
              <w:top w:w="100" w:type="dxa"/>
              <w:left w:w="100" w:type="dxa"/>
              <w:bottom w:w="100" w:type="dxa"/>
              <w:right w:w="100" w:type="dxa"/>
            </w:tcMar>
          </w:tcPr>
          <w:p w14:paraId="149C9FC8" w14:textId="0B8A4811" w:rsidR="000F7F2B" w:rsidRPr="00B27719" w:rsidRDefault="00477978" w:rsidP="006D7ECC">
            <w:pPr>
              <w:spacing w:line="240" w:lineRule="auto"/>
              <w:contextualSpacing w:val="0"/>
              <w:rPr>
                <w:sz w:val="24"/>
                <w:szCs w:val="24"/>
              </w:rPr>
            </w:pPr>
            <w:r w:rsidRPr="00B27719">
              <w:rPr>
                <w:rFonts w:eastAsia="Verdana"/>
                <w:b/>
                <w:sz w:val="24"/>
                <w:szCs w:val="24"/>
              </w:rPr>
              <w:t xml:space="preserve">Title of </w:t>
            </w:r>
            <w:r w:rsidR="006D7ECC" w:rsidRPr="00B27719">
              <w:rPr>
                <w:rFonts w:eastAsia="Verdana"/>
                <w:b/>
                <w:sz w:val="24"/>
                <w:szCs w:val="24"/>
              </w:rPr>
              <w:t>Pearson Q</w:t>
            </w:r>
            <w:r w:rsidRPr="00B27719">
              <w:rPr>
                <w:rFonts w:eastAsia="Verdana"/>
                <w:b/>
                <w:sz w:val="24"/>
                <w:szCs w:val="24"/>
              </w:rPr>
              <w:t>ualification</w:t>
            </w:r>
          </w:p>
        </w:tc>
        <w:tc>
          <w:tcPr>
            <w:tcW w:w="5400" w:type="dxa"/>
            <w:tcMar>
              <w:top w:w="100" w:type="dxa"/>
              <w:left w:w="100" w:type="dxa"/>
              <w:bottom w:w="100" w:type="dxa"/>
              <w:right w:w="100" w:type="dxa"/>
            </w:tcMar>
          </w:tcPr>
          <w:p w14:paraId="57AA78DF" w14:textId="77777777" w:rsidR="000F7F2B" w:rsidRPr="00B27719" w:rsidRDefault="000F7F2B">
            <w:pPr>
              <w:widowControl w:val="0"/>
              <w:spacing w:line="240" w:lineRule="auto"/>
              <w:contextualSpacing w:val="0"/>
              <w:rPr>
                <w:sz w:val="24"/>
                <w:szCs w:val="24"/>
              </w:rPr>
            </w:pPr>
          </w:p>
        </w:tc>
      </w:tr>
      <w:tr w:rsidR="000F7F2B" w:rsidRPr="00B27719" w14:paraId="481D156D" w14:textId="77777777">
        <w:tc>
          <w:tcPr>
            <w:tcW w:w="3630" w:type="dxa"/>
            <w:tcMar>
              <w:top w:w="100" w:type="dxa"/>
              <w:left w:w="100" w:type="dxa"/>
              <w:bottom w:w="100" w:type="dxa"/>
              <w:right w:w="100" w:type="dxa"/>
            </w:tcMar>
          </w:tcPr>
          <w:p w14:paraId="12D1AE5C" w14:textId="77777777" w:rsidR="000F7F2B" w:rsidRPr="00B27719" w:rsidRDefault="00477978">
            <w:pPr>
              <w:spacing w:line="240" w:lineRule="auto"/>
              <w:contextualSpacing w:val="0"/>
              <w:rPr>
                <w:sz w:val="24"/>
                <w:szCs w:val="24"/>
              </w:rPr>
            </w:pPr>
            <w:r w:rsidRPr="00B27719">
              <w:rPr>
                <w:rFonts w:eastAsia="Verdana"/>
                <w:b/>
                <w:sz w:val="24"/>
                <w:szCs w:val="24"/>
              </w:rPr>
              <w:t>Address of collaborative partner</w:t>
            </w:r>
          </w:p>
        </w:tc>
        <w:tc>
          <w:tcPr>
            <w:tcW w:w="5400" w:type="dxa"/>
            <w:tcMar>
              <w:top w:w="100" w:type="dxa"/>
              <w:left w:w="100" w:type="dxa"/>
              <w:bottom w:w="100" w:type="dxa"/>
              <w:right w:w="100" w:type="dxa"/>
            </w:tcMar>
          </w:tcPr>
          <w:p w14:paraId="111AB1A1" w14:textId="77777777" w:rsidR="000F7F2B" w:rsidRPr="00B27719" w:rsidRDefault="000F7F2B">
            <w:pPr>
              <w:widowControl w:val="0"/>
              <w:spacing w:line="240" w:lineRule="auto"/>
              <w:contextualSpacing w:val="0"/>
              <w:rPr>
                <w:sz w:val="24"/>
                <w:szCs w:val="24"/>
              </w:rPr>
            </w:pPr>
          </w:p>
        </w:tc>
      </w:tr>
      <w:tr w:rsidR="000F7F2B" w:rsidRPr="00B27719" w14:paraId="442C9933" w14:textId="77777777">
        <w:tc>
          <w:tcPr>
            <w:tcW w:w="3630" w:type="dxa"/>
            <w:tcMar>
              <w:top w:w="100" w:type="dxa"/>
              <w:left w:w="100" w:type="dxa"/>
              <w:bottom w:w="100" w:type="dxa"/>
              <w:right w:w="100" w:type="dxa"/>
            </w:tcMar>
          </w:tcPr>
          <w:p w14:paraId="1ECBC952" w14:textId="77777777" w:rsidR="000F7F2B" w:rsidRPr="00B27719" w:rsidRDefault="00477978">
            <w:pPr>
              <w:spacing w:line="240" w:lineRule="auto"/>
              <w:contextualSpacing w:val="0"/>
              <w:rPr>
                <w:sz w:val="24"/>
                <w:szCs w:val="24"/>
              </w:rPr>
            </w:pPr>
            <w:r w:rsidRPr="00B27719">
              <w:rPr>
                <w:rFonts w:eastAsia="Verdana"/>
                <w:b/>
                <w:sz w:val="24"/>
                <w:szCs w:val="24"/>
              </w:rPr>
              <w:t>Address of delivery centre</w:t>
            </w:r>
          </w:p>
        </w:tc>
        <w:tc>
          <w:tcPr>
            <w:tcW w:w="5400" w:type="dxa"/>
            <w:tcMar>
              <w:top w:w="100" w:type="dxa"/>
              <w:left w:w="100" w:type="dxa"/>
              <w:bottom w:w="100" w:type="dxa"/>
              <w:right w:w="100" w:type="dxa"/>
            </w:tcMar>
          </w:tcPr>
          <w:p w14:paraId="0AF716A6" w14:textId="77777777" w:rsidR="000F7F2B" w:rsidRPr="00B27719" w:rsidRDefault="000F7F2B">
            <w:pPr>
              <w:widowControl w:val="0"/>
              <w:spacing w:line="240" w:lineRule="auto"/>
              <w:contextualSpacing w:val="0"/>
              <w:rPr>
                <w:sz w:val="24"/>
                <w:szCs w:val="24"/>
              </w:rPr>
            </w:pPr>
          </w:p>
        </w:tc>
      </w:tr>
      <w:tr w:rsidR="000F7F2B" w:rsidRPr="00B27719" w14:paraId="4B4B5894" w14:textId="77777777">
        <w:tc>
          <w:tcPr>
            <w:tcW w:w="3630" w:type="dxa"/>
            <w:tcMar>
              <w:top w:w="100" w:type="dxa"/>
              <w:left w:w="100" w:type="dxa"/>
              <w:bottom w:w="100" w:type="dxa"/>
              <w:right w:w="100" w:type="dxa"/>
            </w:tcMar>
          </w:tcPr>
          <w:p w14:paraId="7DFE0A85" w14:textId="77777777" w:rsidR="000F7F2B" w:rsidRPr="00B27719" w:rsidRDefault="00477978">
            <w:pPr>
              <w:spacing w:line="240" w:lineRule="auto"/>
              <w:contextualSpacing w:val="0"/>
              <w:rPr>
                <w:sz w:val="24"/>
                <w:szCs w:val="24"/>
              </w:rPr>
            </w:pPr>
            <w:r w:rsidRPr="00B27719">
              <w:rPr>
                <w:rFonts w:eastAsia="Verdana"/>
                <w:b/>
                <w:sz w:val="24"/>
                <w:szCs w:val="24"/>
              </w:rPr>
              <w:t>Proposed student registration numbers 2016/17</w:t>
            </w:r>
          </w:p>
        </w:tc>
        <w:tc>
          <w:tcPr>
            <w:tcW w:w="5400" w:type="dxa"/>
            <w:tcMar>
              <w:top w:w="100" w:type="dxa"/>
              <w:left w:w="100" w:type="dxa"/>
              <w:bottom w:w="100" w:type="dxa"/>
              <w:right w:w="100" w:type="dxa"/>
            </w:tcMar>
          </w:tcPr>
          <w:p w14:paraId="15E69E15" w14:textId="77777777" w:rsidR="000F7F2B" w:rsidRPr="00B27719" w:rsidRDefault="000F7F2B">
            <w:pPr>
              <w:widowControl w:val="0"/>
              <w:spacing w:line="240" w:lineRule="auto"/>
              <w:contextualSpacing w:val="0"/>
              <w:rPr>
                <w:sz w:val="24"/>
                <w:szCs w:val="24"/>
              </w:rPr>
            </w:pPr>
          </w:p>
        </w:tc>
      </w:tr>
      <w:tr w:rsidR="000F7F2B" w:rsidRPr="00B27719" w14:paraId="408E1411" w14:textId="77777777">
        <w:tc>
          <w:tcPr>
            <w:tcW w:w="3630" w:type="dxa"/>
            <w:tcMar>
              <w:top w:w="100" w:type="dxa"/>
              <w:left w:w="100" w:type="dxa"/>
              <w:bottom w:w="100" w:type="dxa"/>
              <w:right w:w="100" w:type="dxa"/>
            </w:tcMar>
          </w:tcPr>
          <w:p w14:paraId="24921483" w14:textId="77777777" w:rsidR="000F7F2B" w:rsidRPr="00B27719" w:rsidRDefault="00477978">
            <w:pPr>
              <w:spacing w:line="240" w:lineRule="auto"/>
              <w:contextualSpacing w:val="0"/>
              <w:rPr>
                <w:sz w:val="24"/>
                <w:szCs w:val="24"/>
              </w:rPr>
            </w:pPr>
            <w:r w:rsidRPr="00B27719">
              <w:rPr>
                <w:rFonts w:eastAsia="Verdana"/>
                <w:b/>
                <w:sz w:val="24"/>
                <w:szCs w:val="24"/>
              </w:rPr>
              <w:t>Mode of delivery</w:t>
            </w:r>
          </w:p>
        </w:tc>
        <w:tc>
          <w:tcPr>
            <w:tcW w:w="5400" w:type="dxa"/>
            <w:tcMar>
              <w:top w:w="100" w:type="dxa"/>
              <w:left w:w="100" w:type="dxa"/>
              <w:bottom w:w="100" w:type="dxa"/>
              <w:right w:w="100" w:type="dxa"/>
            </w:tcMar>
          </w:tcPr>
          <w:p w14:paraId="1329AAE7" w14:textId="77777777" w:rsidR="000F7F2B" w:rsidRPr="00B27719" w:rsidRDefault="000F7F2B">
            <w:pPr>
              <w:widowControl w:val="0"/>
              <w:spacing w:line="240" w:lineRule="auto"/>
              <w:contextualSpacing w:val="0"/>
              <w:rPr>
                <w:sz w:val="24"/>
                <w:szCs w:val="24"/>
              </w:rPr>
            </w:pPr>
          </w:p>
        </w:tc>
      </w:tr>
      <w:tr w:rsidR="000F7F2B" w:rsidRPr="00B27719" w14:paraId="6E085665" w14:textId="77777777">
        <w:tc>
          <w:tcPr>
            <w:tcW w:w="3630" w:type="dxa"/>
            <w:tcMar>
              <w:top w:w="100" w:type="dxa"/>
              <w:left w:w="100" w:type="dxa"/>
              <w:bottom w:w="100" w:type="dxa"/>
              <w:right w:w="100" w:type="dxa"/>
            </w:tcMar>
          </w:tcPr>
          <w:p w14:paraId="25A4BA34" w14:textId="77777777" w:rsidR="000F7F2B" w:rsidRPr="00B27719" w:rsidRDefault="00477978">
            <w:pPr>
              <w:spacing w:line="240" w:lineRule="auto"/>
              <w:contextualSpacing w:val="0"/>
              <w:rPr>
                <w:sz w:val="24"/>
                <w:szCs w:val="24"/>
              </w:rPr>
            </w:pPr>
            <w:r w:rsidRPr="00B27719">
              <w:rPr>
                <w:rFonts w:eastAsia="Verdana"/>
                <w:b/>
                <w:sz w:val="24"/>
                <w:szCs w:val="24"/>
              </w:rPr>
              <w:t>Proposed start date</w:t>
            </w:r>
          </w:p>
        </w:tc>
        <w:tc>
          <w:tcPr>
            <w:tcW w:w="5400" w:type="dxa"/>
            <w:tcMar>
              <w:top w:w="100" w:type="dxa"/>
              <w:left w:w="100" w:type="dxa"/>
              <w:bottom w:w="100" w:type="dxa"/>
              <w:right w:w="100" w:type="dxa"/>
            </w:tcMar>
          </w:tcPr>
          <w:p w14:paraId="3B881131" w14:textId="77777777" w:rsidR="000F7F2B" w:rsidRPr="00B27719" w:rsidRDefault="000F7F2B">
            <w:pPr>
              <w:widowControl w:val="0"/>
              <w:spacing w:line="240" w:lineRule="auto"/>
              <w:contextualSpacing w:val="0"/>
              <w:rPr>
                <w:sz w:val="24"/>
                <w:szCs w:val="24"/>
              </w:rPr>
            </w:pPr>
          </w:p>
        </w:tc>
      </w:tr>
      <w:tr w:rsidR="000F7F2B" w:rsidRPr="00B27719" w14:paraId="4CA8BE80" w14:textId="77777777">
        <w:tc>
          <w:tcPr>
            <w:tcW w:w="3630" w:type="dxa"/>
            <w:tcMar>
              <w:top w:w="100" w:type="dxa"/>
              <w:left w:w="100" w:type="dxa"/>
              <w:bottom w:w="100" w:type="dxa"/>
              <w:right w:w="100" w:type="dxa"/>
            </w:tcMar>
          </w:tcPr>
          <w:p w14:paraId="50E7597A" w14:textId="77777777" w:rsidR="000F7F2B" w:rsidRPr="00B27719" w:rsidRDefault="00477978">
            <w:pPr>
              <w:spacing w:line="240" w:lineRule="auto"/>
              <w:contextualSpacing w:val="0"/>
              <w:rPr>
                <w:sz w:val="24"/>
                <w:szCs w:val="24"/>
              </w:rPr>
            </w:pPr>
            <w:r w:rsidRPr="00B27719">
              <w:rPr>
                <w:rFonts w:eastAsia="Verdana"/>
                <w:b/>
                <w:sz w:val="24"/>
                <w:szCs w:val="24"/>
              </w:rPr>
              <w:t>Programme duration</w:t>
            </w:r>
          </w:p>
        </w:tc>
        <w:tc>
          <w:tcPr>
            <w:tcW w:w="5400" w:type="dxa"/>
            <w:tcMar>
              <w:top w:w="100" w:type="dxa"/>
              <w:left w:w="100" w:type="dxa"/>
              <w:bottom w:w="100" w:type="dxa"/>
              <w:right w:w="100" w:type="dxa"/>
            </w:tcMar>
          </w:tcPr>
          <w:p w14:paraId="56606FAA" w14:textId="77777777" w:rsidR="000F7F2B" w:rsidRPr="00B27719" w:rsidRDefault="000F7F2B">
            <w:pPr>
              <w:widowControl w:val="0"/>
              <w:spacing w:line="240" w:lineRule="auto"/>
              <w:contextualSpacing w:val="0"/>
              <w:rPr>
                <w:sz w:val="24"/>
                <w:szCs w:val="24"/>
              </w:rPr>
            </w:pPr>
          </w:p>
        </w:tc>
      </w:tr>
    </w:tbl>
    <w:p w14:paraId="00A10401" w14:textId="77777777" w:rsidR="000F7F2B" w:rsidRPr="00B27719" w:rsidRDefault="000F7F2B">
      <w:pPr>
        <w:spacing w:line="240" w:lineRule="auto"/>
        <w:rPr>
          <w:sz w:val="24"/>
          <w:szCs w:val="24"/>
        </w:rPr>
      </w:pPr>
    </w:p>
    <w:p w14:paraId="3C234320" w14:textId="77777777" w:rsidR="000F7F2B" w:rsidRPr="00CC5CBD" w:rsidRDefault="000F7F2B">
      <w:pPr>
        <w:spacing w:line="240" w:lineRule="auto"/>
        <w:rPr>
          <w:rFonts w:ascii="Open Sans" w:hAnsi="Open Sans" w:cs="Open Sans"/>
          <w:sz w:val="20"/>
          <w:szCs w:val="20"/>
        </w:rPr>
      </w:pPr>
    </w:p>
    <w:p w14:paraId="2FD2F546" w14:textId="77777777" w:rsidR="000F7F2B" w:rsidRPr="00CC5CBD" w:rsidRDefault="000F7F2B">
      <w:pPr>
        <w:spacing w:line="240" w:lineRule="auto"/>
        <w:rPr>
          <w:rFonts w:ascii="Open Sans" w:hAnsi="Open Sans" w:cs="Open Sans"/>
          <w:sz w:val="20"/>
          <w:szCs w:val="20"/>
        </w:rPr>
      </w:pPr>
    </w:p>
    <w:p w14:paraId="4B184AC8" w14:textId="77777777" w:rsidR="000F7F2B" w:rsidRPr="00CC5CBD" w:rsidRDefault="000F7F2B">
      <w:pPr>
        <w:spacing w:line="240" w:lineRule="auto"/>
        <w:rPr>
          <w:rFonts w:ascii="Open Sans" w:hAnsi="Open Sans" w:cs="Open Sans"/>
          <w:sz w:val="20"/>
          <w:szCs w:val="20"/>
        </w:rPr>
      </w:pPr>
    </w:p>
    <w:p w14:paraId="7DF9B803" w14:textId="77777777" w:rsidR="000F7F2B" w:rsidRPr="00CC5CBD" w:rsidRDefault="000F7F2B">
      <w:pPr>
        <w:spacing w:line="240" w:lineRule="auto"/>
        <w:ind w:left="-180"/>
        <w:rPr>
          <w:rFonts w:ascii="Open Sans" w:hAnsi="Open Sans" w:cs="Open Sans"/>
          <w:sz w:val="20"/>
          <w:szCs w:val="20"/>
        </w:rPr>
      </w:pPr>
    </w:p>
    <w:p w14:paraId="701557BA" w14:textId="77777777" w:rsidR="000F7F2B" w:rsidRPr="00CC5CBD" w:rsidRDefault="000F7F2B">
      <w:pPr>
        <w:tabs>
          <w:tab w:val="center" w:pos="4153"/>
          <w:tab w:val="right" w:pos="8306"/>
        </w:tabs>
        <w:spacing w:line="240" w:lineRule="auto"/>
        <w:ind w:left="-180"/>
        <w:rPr>
          <w:rFonts w:ascii="Open Sans" w:hAnsi="Open Sans" w:cs="Open Sans"/>
          <w:sz w:val="20"/>
          <w:szCs w:val="20"/>
        </w:rPr>
      </w:pPr>
    </w:p>
    <w:p w14:paraId="7DD37885" w14:textId="77777777" w:rsidR="000F7F2B" w:rsidRPr="00CC5CBD" w:rsidRDefault="000F7F2B">
      <w:pPr>
        <w:tabs>
          <w:tab w:val="center" w:pos="4153"/>
          <w:tab w:val="right" w:pos="8306"/>
        </w:tabs>
        <w:spacing w:line="240" w:lineRule="auto"/>
        <w:ind w:left="-180"/>
        <w:rPr>
          <w:rFonts w:ascii="Open Sans" w:hAnsi="Open Sans" w:cs="Open Sans"/>
          <w:sz w:val="20"/>
          <w:szCs w:val="20"/>
        </w:rPr>
      </w:pPr>
    </w:p>
    <w:p w14:paraId="34C3938F" w14:textId="77777777" w:rsidR="000F7F2B" w:rsidRPr="00CC5CBD" w:rsidRDefault="000F7F2B">
      <w:pPr>
        <w:tabs>
          <w:tab w:val="center" w:pos="4153"/>
          <w:tab w:val="right" w:pos="8306"/>
        </w:tabs>
        <w:spacing w:line="240" w:lineRule="auto"/>
        <w:ind w:left="-180"/>
        <w:rPr>
          <w:rFonts w:ascii="Open Sans" w:hAnsi="Open Sans" w:cs="Open Sans"/>
          <w:sz w:val="20"/>
          <w:szCs w:val="20"/>
        </w:rPr>
      </w:pPr>
    </w:p>
    <w:p w14:paraId="4E00978F" w14:textId="77777777" w:rsidR="000F7F2B" w:rsidRPr="00CC5CBD" w:rsidRDefault="00477978">
      <w:pPr>
        <w:tabs>
          <w:tab w:val="center" w:pos="4153"/>
          <w:tab w:val="right" w:pos="8306"/>
        </w:tabs>
        <w:spacing w:line="240" w:lineRule="auto"/>
        <w:ind w:left="-180"/>
        <w:rPr>
          <w:rFonts w:ascii="Open Sans" w:hAnsi="Open Sans" w:cs="Open Sans"/>
          <w:sz w:val="20"/>
          <w:szCs w:val="20"/>
        </w:rPr>
      </w:pPr>
      <w:r w:rsidRPr="00CC5CBD">
        <w:rPr>
          <w:rFonts w:ascii="Open Sans" w:eastAsia="Verdana" w:hAnsi="Open Sans" w:cs="Open Sans"/>
          <w:b/>
          <w:sz w:val="20"/>
          <w:szCs w:val="20"/>
        </w:rPr>
        <w:tab/>
      </w:r>
      <w:r w:rsidRPr="00CC5CBD">
        <w:rPr>
          <w:rFonts w:ascii="Open Sans" w:eastAsia="Verdana" w:hAnsi="Open Sans" w:cs="Open Sans"/>
          <w:b/>
          <w:sz w:val="20"/>
          <w:szCs w:val="20"/>
        </w:rPr>
        <w:tab/>
      </w:r>
      <w:r w:rsidRPr="00CC5CBD">
        <w:rPr>
          <w:rFonts w:ascii="Open Sans" w:eastAsia="Verdana" w:hAnsi="Open Sans" w:cs="Open Sans"/>
          <w:b/>
          <w:sz w:val="20"/>
          <w:szCs w:val="20"/>
        </w:rPr>
        <w:tab/>
      </w:r>
      <w:r w:rsidRPr="00CC5CBD">
        <w:rPr>
          <w:rFonts w:ascii="Open Sans" w:eastAsia="Verdana" w:hAnsi="Open Sans" w:cs="Open Sans"/>
          <w:b/>
          <w:sz w:val="20"/>
          <w:szCs w:val="20"/>
        </w:rPr>
        <w:tab/>
      </w:r>
    </w:p>
    <w:p w14:paraId="07C33526" w14:textId="77777777" w:rsidR="000F7F2B" w:rsidRPr="00CC5CBD" w:rsidRDefault="000F7F2B">
      <w:pPr>
        <w:tabs>
          <w:tab w:val="center" w:pos="4153"/>
          <w:tab w:val="right" w:pos="8306"/>
        </w:tabs>
        <w:spacing w:line="240" w:lineRule="auto"/>
        <w:ind w:left="-180"/>
        <w:rPr>
          <w:rFonts w:ascii="Open Sans" w:hAnsi="Open Sans" w:cs="Open Sans"/>
          <w:sz w:val="20"/>
          <w:szCs w:val="20"/>
        </w:rPr>
      </w:pPr>
    </w:p>
    <w:p w14:paraId="013C0059" w14:textId="09AAF4D9" w:rsidR="006D7ECC" w:rsidRPr="00CC5CBD" w:rsidRDefault="006D7ECC" w:rsidP="004D58E2">
      <w:pPr>
        <w:rPr>
          <w:rFonts w:ascii="Open Sans" w:hAnsi="Open Sans" w:cs="Open Sans"/>
          <w:sz w:val="20"/>
          <w:szCs w:val="20"/>
        </w:rPr>
      </w:pPr>
    </w:p>
    <w:sectPr w:rsidR="006D7ECC" w:rsidRPr="00CC5CBD" w:rsidSect="00B640B3">
      <w:headerReference w:type="default" r:id="rId7"/>
      <w:footerReference w:type="default" r:id="rId8"/>
      <w:headerReference w:type="first" r:id="rId9"/>
      <w:pgSz w:w="12240" w:h="15840" w:code="1"/>
      <w:pgMar w:top="1134" w:right="1134" w:bottom="1134" w:left="1134" w:header="0" w:footer="51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BA1B8D" w14:textId="77777777" w:rsidR="00F354FC" w:rsidRDefault="00F354FC">
      <w:pPr>
        <w:spacing w:line="240" w:lineRule="auto"/>
      </w:pPr>
      <w:r>
        <w:separator/>
      </w:r>
    </w:p>
  </w:endnote>
  <w:endnote w:type="continuationSeparator" w:id="0">
    <w:p w14:paraId="2B59974E" w14:textId="77777777" w:rsidR="00F354FC" w:rsidRDefault="00F354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1140F5" w14:textId="3F7B05EF" w:rsidR="00D22681" w:rsidRDefault="00D22681">
    <w:pPr>
      <w:spacing w:after="720"/>
      <w:jc w:val="right"/>
    </w:pPr>
    <w:r>
      <w:rPr>
        <w:sz w:val="16"/>
        <w:szCs w:val="16"/>
      </w:rPr>
      <w:t xml:space="preserve">Page </w:t>
    </w:r>
    <w:r w:rsidRPr="00657823">
      <w:rPr>
        <w:sz w:val="16"/>
        <w:szCs w:val="16"/>
      </w:rPr>
      <w:fldChar w:fldCharType="begin"/>
    </w:r>
    <w:r w:rsidRPr="00657823">
      <w:rPr>
        <w:sz w:val="16"/>
        <w:szCs w:val="16"/>
      </w:rPr>
      <w:instrText>PAGE</w:instrText>
    </w:r>
    <w:r w:rsidRPr="00657823">
      <w:rPr>
        <w:sz w:val="16"/>
        <w:szCs w:val="16"/>
      </w:rPr>
      <w:fldChar w:fldCharType="separate"/>
    </w:r>
    <w:r w:rsidR="00B27719">
      <w:rPr>
        <w:noProof/>
        <w:sz w:val="16"/>
        <w:szCs w:val="16"/>
      </w:rPr>
      <w:t>2</w:t>
    </w:r>
    <w:r w:rsidRPr="00657823">
      <w:rPr>
        <w:sz w:val="16"/>
        <w:szCs w:val="16"/>
      </w:rPr>
      <w:fldChar w:fldCharType="end"/>
    </w:r>
    <w:r>
      <w:rPr>
        <w:sz w:val="16"/>
        <w:szCs w:val="16"/>
      </w:rPr>
      <w:br/>
    </w:r>
    <w:r>
      <w:rPr>
        <w:sz w:val="16"/>
        <w:szCs w:val="16"/>
      </w:rPr>
      <w:fldChar w:fldCharType="begin"/>
    </w:r>
    <w:r>
      <w:rPr>
        <w:sz w:val="16"/>
        <w:szCs w:val="16"/>
      </w:rPr>
      <w:instrText xml:space="preserve"> FILENAME  \p  \* MERGEFORMAT </w:instrText>
    </w:r>
    <w:r>
      <w:rPr>
        <w:sz w:val="16"/>
        <w:szCs w:val="16"/>
      </w:rPr>
      <w:fldChar w:fldCharType="separate"/>
    </w:r>
    <w:r w:rsidR="00B640B3">
      <w:rPr>
        <w:noProof/>
        <w:sz w:val="16"/>
        <w:szCs w:val="16"/>
      </w:rPr>
      <w:t>New Executive\Products\HNs\HN IP Licence Agreement template 03.05.17.docx</w:t>
    </w:r>
    <w:r>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6C9C4" w14:textId="77777777" w:rsidR="00F354FC" w:rsidRDefault="00F354FC">
      <w:pPr>
        <w:spacing w:line="240" w:lineRule="auto"/>
      </w:pPr>
      <w:r>
        <w:separator/>
      </w:r>
    </w:p>
  </w:footnote>
  <w:footnote w:type="continuationSeparator" w:id="0">
    <w:p w14:paraId="0AFE6F97" w14:textId="77777777" w:rsidR="00F354FC" w:rsidRDefault="00F354F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88153" w14:textId="77777777" w:rsidR="00D22681" w:rsidRDefault="00D22681">
    <w:pPr>
      <w:tabs>
        <w:tab w:val="center" w:pos="4153"/>
        <w:tab w:val="right" w:pos="8306"/>
      </w:tabs>
      <w:spacing w:before="72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1B1B6" w14:textId="77777777" w:rsidR="00D22681" w:rsidRDefault="00D22681">
    <w:r>
      <w:rPr>
        <w:noProof/>
      </w:rPr>
      <w:drawing>
        <wp:anchor distT="0" distB="0" distL="114300" distR="114300" simplePos="0" relativeHeight="251658240" behindDoc="0" locked="0" layoutInCell="1" allowOverlap="1" wp14:anchorId="0F1E8B8F" wp14:editId="7F4BA1B6">
          <wp:simplePos x="0" y="0"/>
          <wp:positionH relativeFrom="margin">
            <wp:align>left</wp:align>
          </wp:positionH>
          <wp:positionV relativeFrom="paragraph">
            <wp:posOffset>342900</wp:posOffset>
          </wp:positionV>
          <wp:extent cx="1543050" cy="1076325"/>
          <wp:effectExtent l="0" t="0" r="0" b="9525"/>
          <wp:wrapSquare wrapText="bothSides"/>
          <wp:docPr id="3"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543050" cy="1076325"/>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2B"/>
    <w:rsid w:val="0005130D"/>
    <w:rsid w:val="00097717"/>
    <w:rsid w:val="000C75B6"/>
    <w:rsid w:val="000F7F2B"/>
    <w:rsid w:val="001319FA"/>
    <w:rsid w:val="00173A53"/>
    <w:rsid w:val="00176D68"/>
    <w:rsid w:val="00184B57"/>
    <w:rsid w:val="001F4FBD"/>
    <w:rsid w:val="002666CE"/>
    <w:rsid w:val="002770EE"/>
    <w:rsid w:val="00281481"/>
    <w:rsid w:val="002C2F36"/>
    <w:rsid w:val="00335903"/>
    <w:rsid w:val="0039784C"/>
    <w:rsid w:val="003B151B"/>
    <w:rsid w:val="003B5E6B"/>
    <w:rsid w:val="003D18DA"/>
    <w:rsid w:val="003E6C8E"/>
    <w:rsid w:val="0041429D"/>
    <w:rsid w:val="0046717A"/>
    <w:rsid w:val="00476A7A"/>
    <w:rsid w:val="00477978"/>
    <w:rsid w:val="004A3026"/>
    <w:rsid w:val="004C5B7C"/>
    <w:rsid w:val="004D58E2"/>
    <w:rsid w:val="004F209A"/>
    <w:rsid w:val="004F6AEC"/>
    <w:rsid w:val="00527840"/>
    <w:rsid w:val="005D49CC"/>
    <w:rsid w:val="0062290C"/>
    <w:rsid w:val="00657823"/>
    <w:rsid w:val="00680AB2"/>
    <w:rsid w:val="006D7ECC"/>
    <w:rsid w:val="006E50EC"/>
    <w:rsid w:val="0071099A"/>
    <w:rsid w:val="00761D83"/>
    <w:rsid w:val="007A1A90"/>
    <w:rsid w:val="007C7A4D"/>
    <w:rsid w:val="00823388"/>
    <w:rsid w:val="00835459"/>
    <w:rsid w:val="008C0172"/>
    <w:rsid w:val="008E0F8F"/>
    <w:rsid w:val="00951FCF"/>
    <w:rsid w:val="009E6675"/>
    <w:rsid w:val="00A83D80"/>
    <w:rsid w:val="00AB047D"/>
    <w:rsid w:val="00AC6308"/>
    <w:rsid w:val="00AC7595"/>
    <w:rsid w:val="00B27719"/>
    <w:rsid w:val="00B640B3"/>
    <w:rsid w:val="00B67D3C"/>
    <w:rsid w:val="00BA015A"/>
    <w:rsid w:val="00BA45F6"/>
    <w:rsid w:val="00BB5E33"/>
    <w:rsid w:val="00BD206B"/>
    <w:rsid w:val="00BE4357"/>
    <w:rsid w:val="00C00B56"/>
    <w:rsid w:val="00C76476"/>
    <w:rsid w:val="00C976B8"/>
    <w:rsid w:val="00CC5CBD"/>
    <w:rsid w:val="00D040D1"/>
    <w:rsid w:val="00D15B48"/>
    <w:rsid w:val="00D22681"/>
    <w:rsid w:val="00D44C35"/>
    <w:rsid w:val="00E20947"/>
    <w:rsid w:val="00E27EA0"/>
    <w:rsid w:val="00E71298"/>
    <w:rsid w:val="00F25EA3"/>
    <w:rsid w:val="00F354FC"/>
    <w:rsid w:val="00FA5D9D"/>
    <w:rsid w:val="00FA66D3"/>
    <w:rsid w:val="00FB54C0"/>
    <w:rsid w:val="00FD266E"/>
    <w:rsid w:val="00FD3553"/>
    <w:rsid w:val="00FD4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59D19"/>
  <w15:docId w15:val="{04AECCE9-1547-4291-8858-91E3BE6B1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i/>
      <w:color w:val="666666"/>
      <w:sz w:val="30"/>
      <w:szCs w:val="30"/>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table" w:customStyle="1" w:styleId="a1">
    <w:basedOn w:val="TableNormal"/>
    <w:pPr>
      <w:contextualSpacing/>
    </w:pPr>
    <w:tblPr>
      <w:tblStyleRowBandSize w:val="1"/>
      <w:tblStyleColBandSize w:val="1"/>
      <w:tblCellMar>
        <w:left w:w="115" w:type="dxa"/>
        <w:right w:w="115"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AC759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595"/>
    <w:rPr>
      <w:rFonts w:ascii="Segoe UI" w:hAnsi="Segoe UI" w:cs="Segoe UI"/>
      <w:sz w:val="18"/>
      <w:szCs w:val="18"/>
    </w:rPr>
  </w:style>
  <w:style w:type="character" w:styleId="CommentReference">
    <w:name w:val="annotation reference"/>
    <w:basedOn w:val="DefaultParagraphFont"/>
    <w:uiPriority w:val="99"/>
    <w:semiHidden/>
    <w:unhideWhenUsed/>
    <w:rsid w:val="00E20947"/>
    <w:rPr>
      <w:sz w:val="16"/>
      <w:szCs w:val="16"/>
    </w:rPr>
  </w:style>
  <w:style w:type="paragraph" w:styleId="CommentText">
    <w:name w:val="annotation text"/>
    <w:basedOn w:val="Normal"/>
    <w:link w:val="CommentTextChar"/>
    <w:uiPriority w:val="99"/>
    <w:semiHidden/>
    <w:unhideWhenUsed/>
    <w:rsid w:val="00E20947"/>
    <w:pPr>
      <w:spacing w:line="240" w:lineRule="auto"/>
    </w:pPr>
    <w:rPr>
      <w:sz w:val="20"/>
      <w:szCs w:val="20"/>
    </w:rPr>
  </w:style>
  <w:style w:type="character" w:customStyle="1" w:styleId="CommentTextChar">
    <w:name w:val="Comment Text Char"/>
    <w:basedOn w:val="DefaultParagraphFont"/>
    <w:link w:val="CommentText"/>
    <w:uiPriority w:val="99"/>
    <w:semiHidden/>
    <w:rsid w:val="00E20947"/>
    <w:rPr>
      <w:sz w:val="20"/>
      <w:szCs w:val="20"/>
    </w:rPr>
  </w:style>
  <w:style w:type="paragraph" w:styleId="CommentSubject">
    <w:name w:val="annotation subject"/>
    <w:basedOn w:val="CommentText"/>
    <w:next w:val="CommentText"/>
    <w:link w:val="CommentSubjectChar"/>
    <w:uiPriority w:val="99"/>
    <w:semiHidden/>
    <w:unhideWhenUsed/>
    <w:rsid w:val="00E20947"/>
    <w:rPr>
      <w:b/>
      <w:bCs/>
    </w:rPr>
  </w:style>
  <w:style w:type="character" w:customStyle="1" w:styleId="CommentSubjectChar">
    <w:name w:val="Comment Subject Char"/>
    <w:basedOn w:val="CommentTextChar"/>
    <w:link w:val="CommentSubject"/>
    <w:uiPriority w:val="99"/>
    <w:semiHidden/>
    <w:rsid w:val="00E20947"/>
    <w:rPr>
      <w:b/>
      <w:bCs/>
      <w:sz w:val="20"/>
      <w:szCs w:val="20"/>
    </w:rPr>
  </w:style>
  <w:style w:type="paragraph" w:styleId="Header">
    <w:name w:val="header"/>
    <w:basedOn w:val="Normal"/>
    <w:link w:val="HeaderChar"/>
    <w:uiPriority w:val="99"/>
    <w:unhideWhenUsed/>
    <w:rsid w:val="00657823"/>
    <w:pPr>
      <w:tabs>
        <w:tab w:val="center" w:pos="4513"/>
        <w:tab w:val="right" w:pos="9026"/>
      </w:tabs>
      <w:spacing w:line="240" w:lineRule="auto"/>
    </w:pPr>
  </w:style>
  <w:style w:type="character" w:customStyle="1" w:styleId="HeaderChar">
    <w:name w:val="Header Char"/>
    <w:basedOn w:val="DefaultParagraphFont"/>
    <w:link w:val="Header"/>
    <w:uiPriority w:val="99"/>
    <w:rsid w:val="00657823"/>
  </w:style>
  <w:style w:type="paragraph" w:styleId="Footer">
    <w:name w:val="footer"/>
    <w:basedOn w:val="Normal"/>
    <w:link w:val="FooterChar"/>
    <w:uiPriority w:val="99"/>
    <w:unhideWhenUsed/>
    <w:rsid w:val="00657823"/>
    <w:pPr>
      <w:tabs>
        <w:tab w:val="center" w:pos="4513"/>
        <w:tab w:val="right" w:pos="9026"/>
      </w:tabs>
      <w:spacing w:line="240" w:lineRule="auto"/>
    </w:pPr>
  </w:style>
  <w:style w:type="character" w:customStyle="1" w:styleId="FooterChar">
    <w:name w:val="Footer Char"/>
    <w:basedOn w:val="DefaultParagraphFont"/>
    <w:link w:val="Footer"/>
    <w:uiPriority w:val="99"/>
    <w:rsid w:val="00657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D2F05-698C-448E-B30E-FE4808011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4022</Words>
  <Characters>22927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Walters, Thalia</dc:creator>
  <cp:lastModifiedBy>Everest, Katherine</cp:lastModifiedBy>
  <cp:revision>2</cp:revision>
  <cp:lastPrinted>2017-04-26T11:40:00Z</cp:lastPrinted>
  <dcterms:created xsi:type="dcterms:W3CDTF">2017-05-09T12:53:00Z</dcterms:created>
  <dcterms:modified xsi:type="dcterms:W3CDTF">2017-05-09T12:53:00Z</dcterms:modified>
</cp:coreProperties>
</file>